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31E0DA">
      <w:pPr>
        <w:pStyle w:val="8"/>
        <w:spacing w:line="360" w:lineRule="auto"/>
        <w:rPr>
          <w:rFonts w:eastAsiaTheme="minorEastAsia"/>
          <w:b/>
          <w:sz w:val="24"/>
          <w:lang w:eastAsia="zh-CN"/>
        </w:rPr>
      </w:pPr>
      <w:r>
        <w:rPr>
          <w:rFonts w:eastAsiaTheme="minorEastAsia"/>
          <w:b/>
          <w:sz w:val="24"/>
          <w:lang w:eastAsia="zh-CN"/>
        </w:rPr>
        <w:t>Synthesis routes and details</w:t>
      </w:r>
    </w:p>
    <w:p w14:paraId="058BC4BE">
      <w:pPr>
        <w:pStyle w:val="8"/>
        <w:spacing w:line="360" w:lineRule="auto"/>
        <w:rPr>
          <w:rFonts w:eastAsiaTheme="minorEastAsia"/>
          <w:bCs/>
          <w:sz w:val="24"/>
          <w:lang w:eastAsia="zh-CN"/>
        </w:rPr>
      </w:pPr>
      <w:r>
        <w:rPr>
          <w:bCs/>
          <w:sz w:val="24"/>
        </w:rPr>
        <w:t>Intermediate 2</w:t>
      </w:r>
      <w:r>
        <w:rPr>
          <w:rFonts w:hint="eastAsia" w:eastAsia="宋体"/>
          <w:sz w:val="24"/>
          <w:highlight w:val="none"/>
          <w:vertAlign w:val="superscript"/>
          <w:lang w:val="en-US" w:eastAsia="zh-CN"/>
        </w:rPr>
        <w:t>[1,2]</w:t>
      </w:r>
      <w:r>
        <w:rPr>
          <w:bCs/>
          <w:sz w:val="24"/>
          <w:highlight w:val="none"/>
        </w:rPr>
        <w:t>, 4</w:t>
      </w:r>
      <w:r>
        <w:rPr>
          <w:rFonts w:hint="eastAsia" w:eastAsia="宋体"/>
          <w:sz w:val="24"/>
          <w:highlight w:val="none"/>
          <w:vertAlign w:val="superscript"/>
          <w:lang w:val="en-US" w:eastAsia="zh-CN"/>
        </w:rPr>
        <w:t>[3]</w:t>
      </w:r>
      <w:r>
        <w:rPr>
          <w:bCs/>
          <w:sz w:val="24"/>
          <w:highlight w:val="none"/>
        </w:rPr>
        <w:t>,</w:t>
      </w:r>
      <w:r>
        <w:rPr>
          <w:bCs/>
          <w:sz w:val="24"/>
        </w:rPr>
        <w:t xml:space="preserve"> was synthesized according to the literature procedures. All other reagents and solvents are used from commercial sources without further purification.</w:t>
      </w:r>
    </w:p>
    <w:p w14:paraId="5E0773AE">
      <w:pPr>
        <w:pStyle w:val="8"/>
        <w:spacing w:line="360" w:lineRule="auto"/>
        <w:rPr>
          <w:b/>
          <w:sz w:val="24"/>
        </w:rPr>
      </w:pPr>
      <w:r>
        <w:rPr>
          <w:b/>
          <w:sz w:val="24"/>
        </w:rPr>
        <w:t>Synthesis of 5-bromo-</w:t>
      </w:r>
      <w:r>
        <w:rPr>
          <w:b/>
          <w:i/>
          <w:iCs/>
          <w:sz w:val="24"/>
        </w:rPr>
        <w:t>N</w:t>
      </w:r>
      <w:r>
        <w:rPr>
          <w:b/>
          <w:sz w:val="24"/>
        </w:rPr>
        <w:t>,</w:t>
      </w:r>
      <w:r>
        <w:rPr>
          <w:b/>
          <w:i/>
          <w:iCs/>
          <w:sz w:val="24"/>
        </w:rPr>
        <w:t>N</w:t>
      </w:r>
      <w:r>
        <w:rPr>
          <w:b/>
          <w:sz w:val="24"/>
        </w:rPr>
        <w:t>,6'-triphenyl-[1,1':2',1''-terphenyl]-3-amine (3).</w:t>
      </w:r>
    </w:p>
    <w:p w14:paraId="5EEDBF10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t>Compound 3,5-dibromo-N,N-diphenylaniline (10.00 g, 24.81 mmol), 2-([1,1':3',1''-terphenyl]-2'-yl)-4,4,5,5-tetramethyl-1,3,2-dioxaborolane (2) (10.61g, 29.77 mmol), tetrakis(triphenylphosphine)palladium (2.87g, 2.48 mmol) and potassium hydroxide (6.96g, 124.03 mmol) were dissolved in tetrahydrofuran (100 mL) and H</w:t>
      </w:r>
      <w:r>
        <w:rPr>
          <w:bCs/>
          <w:sz w:val="24"/>
          <w:vertAlign w:val="subscript"/>
        </w:rPr>
        <w:t>2</w:t>
      </w:r>
      <w:r>
        <w:rPr>
          <w:bCs/>
          <w:sz w:val="24"/>
        </w:rPr>
        <w:t xml:space="preserve">O (20 mL) under a nitrogen atmosphere. After stirring at 80 °C for 15 h, the reaction was filtered, the solvent removed under vacuum condition, and then the residue purified by column chromatography on silica gel using petroleum ether/dichloromethane (3/1, v/v) as eluent, white solid was finally obtained. Yield: 7.65 g (55.81%). </w:t>
      </w:r>
      <w:r>
        <w:rPr>
          <w:bCs/>
          <w:sz w:val="24"/>
          <w:vertAlign w:val="superscript"/>
        </w:rPr>
        <w:t>1</w:t>
      </w:r>
      <w:r>
        <w:rPr>
          <w:bCs/>
          <w:sz w:val="24"/>
        </w:rPr>
        <w:t>H NMR (400 MHz, DMSO-</w:t>
      </w:r>
      <w:r>
        <w:rPr>
          <w:bCs/>
          <w:i/>
          <w:iCs/>
          <w:sz w:val="24"/>
        </w:rPr>
        <w:t>d</w:t>
      </w:r>
      <w:r>
        <w:rPr>
          <w:bCs/>
          <w:sz w:val="24"/>
          <w:vertAlign w:val="subscript"/>
        </w:rPr>
        <w:t>6</w:t>
      </w:r>
      <w:r>
        <w:rPr>
          <w:bCs/>
          <w:sz w:val="24"/>
        </w:rPr>
        <w:t xml:space="preserve">) δ 7.57-7.46 (m, 1H), 7.42-7.27 (m, 8H), 7.23 (dd,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8.4, 7.3 Hz, 4H), 7.12 -7.00 (m, 6H), 6.64 (dd,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7.1, 5.8 Hz, 6H), 6.50 (s, 1H).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(101 MHz, Chloroform-</w:t>
      </w:r>
      <w:r>
        <w:rPr>
          <w:bCs/>
          <w:i/>
          <w:iCs/>
          <w:sz w:val="24"/>
        </w:rPr>
        <w:t>d</w:t>
      </w:r>
      <w:r>
        <w:rPr>
          <w:bCs/>
          <w:sz w:val="24"/>
        </w:rPr>
        <w:t>) δ 147.87, 146.96, 142.53, 141.65, 141.36, 137.64, 129.89, 129.38, 129.31, 128.34, 127.81, 127.73, 126.50, 125.22, 124.20, 124.10, 123.04, 121.70. MS (EI) m/z: 552.41 [M+]. Calcd for C</w:t>
      </w:r>
      <w:r>
        <w:rPr>
          <w:bCs/>
          <w:sz w:val="24"/>
          <w:vertAlign w:val="subscript"/>
        </w:rPr>
        <w:t>36</w:t>
      </w:r>
      <w:r>
        <w:rPr>
          <w:bCs/>
          <w:sz w:val="24"/>
        </w:rPr>
        <w:t>H</w:t>
      </w:r>
      <w:r>
        <w:rPr>
          <w:bCs/>
          <w:sz w:val="24"/>
          <w:vertAlign w:val="subscript"/>
        </w:rPr>
        <w:t>26</w:t>
      </w:r>
      <w:r>
        <w:rPr>
          <w:bCs/>
          <w:sz w:val="24"/>
        </w:rPr>
        <w:t>BrN: 552.52.</w:t>
      </w:r>
    </w:p>
    <w:p w14:paraId="03BA13EF">
      <w:pPr>
        <w:pStyle w:val="8"/>
        <w:spacing w:line="360" w:lineRule="auto"/>
        <w:rPr>
          <w:bCs/>
          <w:sz w:val="24"/>
        </w:rPr>
      </w:pPr>
    </w:p>
    <w:p w14:paraId="387DBB5E">
      <w:pPr>
        <w:pStyle w:val="8"/>
        <w:spacing w:line="360" w:lineRule="auto"/>
        <w:rPr>
          <w:b/>
          <w:sz w:val="24"/>
        </w:rPr>
      </w:pPr>
      <w:r>
        <w:rPr>
          <w:b/>
          <w:sz w:val="24"/>
        </w:rPr>
        <w:t xml:space="preserve">Synthesis of </w:t>
      </w:r>
      <w:r>
        <w:rPr>
          <w:b/>
          <w:i/>
          <w:iCs/>
          <w:sz w:val="24"/>
        </w:rPr>
        <w:t>N</w:t>
      </w:r>
      <w:r>
        <w:rPr>
          <w:b/>
          <w:sz w:val="24"/>
          <w:vertAlign w:val="superscript"/>
        </w:rPr>
        <w:t>3</w:t>
      </w:r>
      <w:r>
        <w:rPr>
          <w:b/>
          <w:sz w:val="24"/>
        </w:rPr>
        <w:t>,</w:t>
      </w:r>
      <w:r>
        <w:rPr>
          <w:b/>
          <w:i/>
          <w:iCs/>
          <w:sz w:val="24"/>
        </w:rPr>
        <w:t>N</w:t>
      </w:r>
      <w:r>
        <w:rPr>
          <w:b/>
          <w:sz w:val="24"/>
          <w:vertAlign w:val="superscript"/>
        </w:rPr>
        <w:t>3</w:t>
      </w:r>
      <w:r>
        <w:rPr>
          <w:b/>
          <w:sz w:val="24"/>
        </w:rPr>
        <w:t>''-(1,3-phenylene)bis(</w:t>
      </w:r>
      <w:r>
        <w:rPr>
          <w:b/>
          <w:i/>
          <w:iCs/>
          <w:sz w:val="24"/>
        </w:rPr>
        <w:t>N</w:t>
      </w:r>
      <w:r>
        <w:rPr>
          <w:b/>
          <w:sz w:val="24"/>
          <w:vertAlign w:val="superscript"/>
        </w:rPr>
        <w:t>3</w:t>
      </w:r>
      <w:r>
        <w:rPr>
          <w:b/>
          <w:sz w:val="24"/>
        </w:rPr>
        <w:t>-(2,6-difluorophenyl)-</w:t>
      </w:r>
      <w:r>
        <w:rPr>
          <w:b/>
          <w:i/>
          <w:iCs/>
          <w:sz w:val="24"/>
        </w:rPr>
        <w:t>N</w:t>
      </w:r>
      <w:r>
        <w:rPr>
          <w:b/>
          <w:sz w:val="24"/>
          <w:vertAlign w:val="superscript"/>
        </w:rPr>
        <w:t>5</w:t>
      </w:r>
      <w:r>
        <w:rPr>
          <w:b/>
          <w:sz w:val="24"/>
        </w:rPr>
        <w:t>,</w:t>
      </w:r>
      <w:r>
        <w:rPr>
          <w:b/>
          <w:i/>
          <w:iCs/>
          <w:sz w:val="24"/>
        </w:rPr>
        <w:t>N</w:t>
      </w:r>
      <w:r>
        <w:rPr>
          <w:b/>
          <w:sz w:val="24"/>
          <w:vertAlign w:val="superscript"/>
        </w:rPr>
        <w:t>5</w:t>
      </w:r>
      <w:r>
        <w:rPr>
          <w:b/>
          <w:sz w:val="24"/>
        </w:rPr>
        <w:t>,6'-triphenyl-[1,1':2',1''-terphenyl]-3,5-diamine) (6).</w:t>
      </w:r>
    </w:p>
    <w:p w14:paraId="37034BA8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t xml:space="preserve">Compound 3 (7.32 g, 13.24 mmol), </w:t>
      </w:r>
      <w:r>
        <w:rPr>
          <w:bCs/>
          <w:i/>
          <w:iCs/>
          <w:sz w:val="24"/>
        </w:rPr>
        <w:t>N</w:t>
      </w:r>
      <w:r>
        <w:rPr>
          <w:bCs/>
          <w:sz w:val="24"/>
          <w:vertAlign w:val="superscript"/>
        </w:rPr>
        <w:t>1</w:t>
      </w:r>
      <w:r>
        <w:rPr>
          <w:bCs/>
          <w:sz w:val="24"/>
        </w:rPr>
        <w:t>,</w:t>
      </w:r>
      <w:r>
        <w:rPr>
          <w:bCs/>
          <w:i/>
          <w:iCs/>
          <w:sz w:val="24"/>
        </w:rPr>
        <w:t>N</w:t>
      </w:r>
      <w:r>
        <w:rPr>
          <w:bCs/>
          <w:sz w:val="24"/>
          <w:vertAlign w:val="superscript"/>
        </w:rPr>
        <w:t>3</w:t>
      </w:r>
      <w:r>
        <w:rPr>
          <w:bCs/>
          <w:sz w:val="24"/>
        </w:rPr>
        <w:t>-bis(2,6-difluorophenyl)benzene-1,3-diamine (4) (2.00 g, 6.02 mmol), tris(dibenzylideneacetone)palladium(0) (551.15 mg, 601.86 μmol), dicyclohexyl(2',4',6'-triisopropyl-[1,1'-biphenyl]-2-yl)phosphane (573.85 mg, 1.2 mmol) and sodium tert-butoxide (3.47 g, 36.11 mmol) were dissolved in toluene (200 mL) under a nitrogen atmosphere. After stirring at 120 °C for 5 h, the reaction was filtered, the solvent removed under vacuum condition, and then the residue purified by column chromatography on silica gel using petroleum ether/dichloromethane (2/1, v/v) as eluent, white solid was finally obtained. Yield: 4.61 g (60.05%).</w:t>
      </w:r>
      <w:r>
        <w:rPr>
          <w:bCs/>
          <w:sz w:val="24"/>
          <w:vertAlign w:val="superscript"/>
        </w:rPr>
        <w:t xml:space="preserve"> 1</w:t>
      </w:r>
      <w:r>
        <w:rPr>
          <w:bCs/>
          <w:sz w:val="24"/>
        </w:rPr>
        <w:t>H NMR (400 MHz, Chloroform-</w:t>
      </w:r>
      <w:r>
        <w:rPr>
          <w:bCs/>
          <w:i/>
          <w:iCs/>
          <w:sz w:val="24"/>
        </w:rPr>
        <w:t>d</w:t>
      </w:r>
      <w:r>
        <w:rPr>
          <w:bCs/>
          <w:sz w:val="24"/>
        </w:rPr>
        <w:t xml:space="preserve">) δ 7.45-7.36 (m, 6H), 7.30-7.29 (m, 6H), 7.19-7.07 (m, 18H), 6.93 -6.81 (m, 13H), 6.75 (s, 4H), 6.73 (s, 3H), 6.43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10.4 Hz, 4H), 6.36 (s, 2H), 6.28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7.1 Hz, 2H), 6.11 (s, 2H), 6.05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8.1 Hz, 2H).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(101 MHz, Methylene Chloride-</w:t>
      </w:r>
      <w:r>
        <w:rPr>
          <w:bCs/>
          <w:i/>
          <w:iCs/>
          <w:sz w:val="24"/>
        </w:rPr>
        <w:t>d</w:t>
      </w:r>
      <w:r>
        <w:rPr>
          <w:bCs/>
          <w:sz w:val="24"/>
          <w:vertAlign w:val="subscript"/>
        </w:rPr>
        <w:t>2</w:t>
      </w:r>
      <w:r>
        <w:rPr>
          <w:bCs/>
          <w:sz w:val="24"/>
        </w:rPr>
        <w:t>) δ 162.64, 162.59, 160.13, 160.08, 159.22, 159.16, 156.76, 156.71, 148.92, 148.61, 148.01, 147.31, 145.51, 143.14, 142.90, 142.79, 140.18, 131.24, 130.70, 130.32, 130.23, 128.93, 128.71, 128.26, 128.16, 128.06, 127.57, 124.78, 124.63, 124.54, 123.74, 123.59, 123.54, 121.64, 120.46, 120.31, 117.74, 113.81, 113.76, 113.58, 113.32, 113.21, 113.15, 113.04, 112.98, 110.06, 108.43.MS (EI) m/z: 1275.81 [M+]. Calcd for C</w:t>
      </w:r>
      <w:r>
        <w:rPr>
          <w:bCs/>
          <w:sz w:val="24"/>
          <w:vertAlign w:val="subscript"/>
        </w:rPr>
        <w:t>90</w:t>
      </w:r>
      <w:r>
        <w:rPr>
          <w:bCs/>
          <w:sz w:val="24"/>
        </w:rPr>
        <w:t>H</w:t>
      </w:r>
      <w:r>
        <w:rPr>
          <w:bCs/>
          <w:sz w:val="24"/>
          <w:vertAlign w:val="subscript"/>
        </w:rPr>
        <w:t>62</w:t>
      </w:r>
      <w:r>
        <w:rPr>
          <w:bCs/>
          <w:sz w:val="24"/>
        </w:rPr>
        <w:t>F</w:t>
      </w:r>
      <w:r>
        <w:rPr>
          <w:bCs/>
          <w:sz w:val="24"/>
          <w:vertAlign w:val="subscript"/>
        </w:rPr>
        <w:t>4</w:t>
      </w:r>
      <w:r>
        <w:rPr>
          <w:bCs/>
          <w:sz w:val="24"/>
        </w:rPr>
        <w:t>N</w:t>
      </w:r>
      <w:r>
        <w:rPr>
          <w:bCs/>
          <w:sz w:val="24"/>
          <w:vertAlign w:val="subscript"/>
        </w:rPr>
        <w:t>4</w:t>
      </w:r>
      <w:r>
        <w:rPr>
          <w:bCs/>
          <w:sz w:val="24"/>
        </w:rPr>
        <w:t>:1275.51.</w:t>
      </w:r>
    </w:p>
    <w:p w14:paraId="632E221D">
      <w:pPr>
        <w:pStyle w:val="8"/>
        <w:spacing w:line="360" w:lineRule="auto"/>
        <w:rPr>
          <w:bCs/>
          <w:sz w:val="24"/>
        </w:rPr>
      </w:pPr>
    </w:p>
    <w:p w14:paraId="2B15DDA0">
      <w:pPr>
        <w:pStyle w:val="8"/>
        <w:spacing w:line="360" w:lineRule="auto"/>
        <w:rPr>
          <w:b/>
          <w:sz w:val="24"/>
        </w:rPr>
      </w:pPr>
      <w:r>
        <w:rPr>
          <w:b/>
          <w:sz w:val="24"/>
        </w:rPr>
        <w:t xml:space="preserve">Synthesis of </w:t>
      </w:r>
      <w:r>
        <w:rPr>
          <w:b/>
          <w:i/>
          <w:iCs/>
          <w:sz w:val="24"/>
        </w:rPr>
        <w:t>N</w:t>
      </w:r>
      <w:r>
        <w:rPr>
          <w:b/>
          <w:sz w:val="24"/>
          <w:vertAlign w:val="superscript"/>
        </w:rPr>
        <w:t>3</w:t>
      </w:r>
      <w:r>
        <w:rPr>
          <w:b/>
          <w:sz w:val="24"/>
        </w:rPr>
        <w:t>,</w:t>
      </w:r>
      <w:r>
        <w:rPr>
          <w:b/>
          <w:i/>
          <w:iCs/>
          <w:sz w:val="24"/>
        </w:rPr>
        <w:t>N</w:t>
      </w:r>
      <w:r>
        <w:rPr>
          <w:b/>
          <w:sz w:val="24"/>
          <w:vertAlign w:val="superscript"/>
        </w:rPr>
        <w:t>3</w:t>
      </w:r>
      <w:r>
        <w:rPr>
          <w:b/>
          <w:sz w:val="24"/>
        </w:rPr>
        <w:t>''-(1,3-phenylene)bis(</w:t>
      </w:r>
      <w:r>
        <w:rPr>
          <w:b/>
          <w:i/>
          <w:iCs/>
          <w:sz w:val="24"/>
        </w:rPr>
        <w:t>N</w:t>
      </w:r>
      <w:r>
        <w:rPr>
          <w:b/>
          <w:sz w:val="24"/>
          <w:vertAlign w:val="superscript"/>
        </w:rPr>
        <w:t>3</w:t>
      </w:r>
      <w:r>
        <w:rPr>
          <w:b/>
          <w:sz w:val="24"/>
        </w:rPr>
        <w:t>,</w:t>
      </w:r>
      <w:r>
        <w:rPr>
          <w:b/>
          <w:i/>
          <w:iCs/>
          <w:sz w:val="24"/>
        </w:rPr>
        <w:t>N</w:t>
      </w:r>
      <w:r>
        <w:rPr>
          <w:b/>
          <w:sz w:val="24"/>
          <w:vertAlign w:val="superscript"/>
        </w:rPr>
        <w:t>5</w:t>
      </w:r>
      <w:r>
        <w:rPr>
          <w:b/>
          <w:sz w:val="24"/>
        </w:rPr>
        <w:t>,</w:t>
      </w:r>
      <w:r>
        <w:rPr>
          <w:b/>
          <w:i/>
          <w:iCs/>
          <w:sz w:val="24"/>
        </w:rPr>
        <w:t>N</w:t>
      </w:r>
      <w:r>
        <w:rPr>
          <w:b/>
          <w:sz w:val="24"/>
          <w:vertAlign w:val="superscript"/>
        </w:rPr>
        <w:t>5</w:t>
      </w:r>
      <w:r>
        <w:rPr>
          <w:b/>
          <w:sz w:val="24"/>
        </w:rPr>
        <w:t>,6'-tetraphenyl-[1,1':2',1''-terphenyl]-3,5-diamine) (7)</w:t>
      </w:r>
    </w:p>
    <w:p w14:paraId="481D0F83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t>Using a similar synthetic procedure for compound 6, white solid was finally obtained. Yield: 3.6 g (59.08%).</w:t>
      </w:r>
      <w:r>
        <w:rPr>
          <w:bCs/>
          <w:sz w:val="24"/>
          <w:vertAlign w:val="superscript"/>
        </w:rPr>
        <w:t xml:space="preserve"> 1</w:t>
      </w:r>
      <w:r>
        <w:rPr>
          <w:bCs/>
          <w:sz w:val="24"/>
        </w:rPr>
        <w:t>H NMR (400 MHz, Methylene Chloride-</w:t>
      </w:r>
      <w:r>
        <w:rPr>
          <w:bCs/>
          <w:i/>
          <w:iCs/>
          <w:sz w:val="24"/>
        </w:rPr>
        <w:t>d</w:t>
      </w:r>
      <w:r>
        <w:rPr>
          <w:bCs/>
          <w:sz w:val="24"/>
          <w:vertAlign w:val="subscript"/>
        </w:rPr>
        <w:t>2</w:t>
      </w:r>
      <w:r>
        <w:rPr>
          <w:bCs/>
          <w:sz w:val="24"/>
        </w:rPr>
        <w:t xml:space="preserve">) δ 7.47-7.27 (m, 20H), 7.16-7.12 (m, 12H), 7.10 (s, 2H), 7.07-7.02 (m, 4H), 6.95-6.88 (m, 5H), 6.85-6.81 (m, 2H), 6.72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7.9 Hz, 8H), 6.62-6.53 (m, 5H), 6.42-6.30 (m, 6H), 6.22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8.1 Hz, 2H).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(101 MHz, Methylene Chloride-</w:t>
      </w:r>
      <w:r>
        <w:rPr>
          <w:bCs/>
          <w:i/>
          <w:iCs/>
          <w:sz w:val="24"/>
        </w:rPr>
        <w:t>d</w:t>
      </w:r>
      <w:r>
        <w:rPr>
          <w:bCs/>
          <w:sz w:val="24"/>
          <w:vertAlign w:val="subscript"/>
        </w:rPr>
        <w:t>2</w:t>
      </w:r>
      <w:r>
        <w:rPr>
          <w:bCs/>
          <w:sz w:val="24"/>
        </w:rPr>
        <w:t>) δ 147.82, 147.65, 147.37, 147.26, 147.12, 142.06, 141.63, 141.42, 138.99, 129.99, 129.64, 128.94, 128.89, 128.80, 127.61, 127.35, 126.28, 123.44, 122.88, 122.65, 122.57, 122.21, 121.76, 119.37, 119.03, 118.30, 29.69. MS (EI) m/z: 1203.67 [M+]. Calcd for C</w:t>
      </w:r>
      <w:r>
        <w:rPr>
          <w:bCs/>
          <w:sz w:val="24"/>
          <w:vertAlign w:val="subscript"/>
        </w:rPr>
        <w:t>90</w:t>
      </w:r>
      <w:r>
        <w:rPr>
          <w:bCs/>
          <w:sz w:val="24"/>
        </w:rPr>
        <w:t>H</w:t>
      </w:r>
      <w:r>
        <w:rPr>
          <w:bCs/>
          <w:sz w:val="24"/>
          <w:vertAlign w:val="subscript"/>
        </w:rPr>
        <w:t>66</w:t>
      </w:r>
      <w:r>
        <w:rPr>
          <w:bCs/>
          <w:sz w:val="24"/>
        </w:rPr>
        <w:t>N</w:t>
      </w:r>
      <w:r>
        <w:rPr>
          <w:bCs/>
          <w:sz w:val="24"/>
          <w:vertAlign w:val="subscript"/>
        </w:rPr>
        <w:t>4</w:t>
      </w:r>
      <w:r>
        <w:rPr>
          <w:bCs/>
          <w:sz w:val="24"/>
        </w:rPr>
        <w:t>: 1203.55.</w:t>
      </w:r>
    </w:p>
    <w:p w14:paraId="04231B52">
      <w:pPr>
        <w:pStyle w:val="8"/>
        <w:spacing w:line="360" w:lineRule="auto"/>
        <w:rPr>
          <w:bCs/>
          <w:sz w:val="24"/>
        </w:rPr>
      </w:pPr>
    </w:p>
    <w:p w14:paraId="1140F435">
      <w:pPr>
        <w:pStyle w:val="8"/>
        <w:spacing w:line="360" w:lineRule="auto"/>
        <w:rPr>
          <w:bCs/>
          <w:sz w:val="24"/>
        </w:rPr>
      </w:pPr>
    </w:p>
    <w:p w14:paraId="72D88E5F">
      <w:pPr>
        <w:pStyle w:val="8"/>
        <w:spacing w:line="360" w:lineRule="auto"/>
        <w:rPr>
          <w:b/>
          <w:sz w:val="24"/>
        </w:rPr>
      </w:pPr>
      <w:r>
        <w:rPr>
          <w:b/>
          <w:sz w:val="24"/>
        </w:rPr>
        <w:t>Synthesis of DTPF-ν-DABNA.</w:t>
      </w:r>
    </w:p>
    <w:p w14:paraId="7524EFDA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t xml:space="preserve">Boron tribromide (8.16 mL, 84.67 mmol) was added to a solution of Compound 6 (4.5 g, 3.53 mmol) in </w:t>
      </w:r>
      <w:r>
        <w:rPr>
          <w:bCs/>
          <w:i/>
          <w:iCs/>
          <w:sz w:val="24"/>
        </w:rPr>
        <w:t>o</w:t>
      </w:r>
      <w:r>
        <w:rPr>
          <w:bCs/>
          <w:sz w:val="24"/>
        </w:rPr>
        <w:t xml:space="preserve">-dichlorobenzene (60 mL) at room temperature under a nitrogen atmosphere. After stirring at 200 °C for 20 h, the reaction mixture was allowed to cool to room temperature. After addition of </w:t>
      </w:r>
      <w:r>
        <w:rPr>
          <w:bCs/>
          <w:i/>
          <w:iCs/>
          <w:sz w:val="24"/>
        </w:rPr>
        <w:t>N</w:t>
      </w:r>
      <w:r>
        <w:rPr>
          <w:bCs/>
          <w:sz w:val="24"/>
        </w:rPr>
        <w:t>,</w:t>
      </w:r>
      <w:r>
        <w:rPr>
          <w:bCs/>
          <w:i/>
          <w:iCs/>
          <w:sz w:val="24"/>
        </w:rPr>
        <w:t>N</w:t>
      </w:r>
      <w:r>
        <w:rPr>
          <w:bCs/>
          <w:sz w:val="24"/>
        </w:rPr>
        <w:t>-diisopropylethylamine (55.31 mL, 317.52 mmol) at 0 °C, the solvent was removed in vacuo, and then the residue purified by column chromatography on silica gel using petroleum ether/dichloromethane (2/1, v/v) as eluent, orange solid was finally obtained. Yield: 2.73 g (59.94%).</w:t>
      </w:r>
      <w:r>
        <w:rPr>
          <w:bCs/>
          <w:sz w:val="24"/>
          <w:vertAlign w:val="superscript"/>
        </w:rPr>
        <w:t xml:space="preserve"> 1</w:t>
      </w:r>
      <w:r>
        <w:rPr>
          <w:bCs/>
          <w:sz w:val="24"/>
        </w:rPr>
        <w:t>H NMR (400 MHz, Methylene Chloride-</w:t>
      </w:r>
      <w:r>
        <w:rPr>
          <w:bCs/>
          <w:i/>
          <w:iCs/>
          <w:sz w:val="24"/>
        </w:rPr>
        <w:t>d</w:t>
      </w:r>
      <w:r>
        <w:rPr>
          <w:bCs/>
          <w:sz w:val="24"/>
          <w:vertAlign w:val="subscript"/>
        </w:rPr>
        <w:t>2</w:t>
      </w:r>
      <w:r>
        <w:rPr>
          <w:bCs/>
          <w:sz w:val="24"/>
        </w:rPr>
        <w:t xml:space="preserve">) δ 10.43 (s, 1H), 9.16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7.8 Hz, 2H), 7.57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7.7 Hz, 6H), 7.46 (t,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7.0 Hz, 2H), 7.43-7.32 (m, 6H), 7.30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7.2 Hz, 4H), 7.22-7.07 (m, 12H), 6.98 -6.83 (m, 16H), 6.71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7.6 Hz, 2H), 5.86-5.76 (m, 4H), 5.64 (s, 1H).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(101 MHz, Methylene Chloride-</w:t>
      </w:r>
      <w:r>
        <w:rPr>
          <w:bCs/>
          <w:i/>
          <w:iCs/>
          <w:sz w:val="24"/>
        </w:rPr>
        <w:t>d</w:t>
      </w:r>
      <w:r>
        <w:rPr>
          <w:bCs/>
          <w:sz w:val="24"/>
          <w:vertAlign w:val="subscript"/>
        </w:rPr>
        <w:t>2</w:t>
      </w:r>
      <w:r>
        <w:rPr>
          <w:bCs/>
          <w:sz w:val="24"/>
        </w:rPr>
        <w:t>) δ 160.94, 158.45, 158.41, 149.30, 147.64, 145.85, 144.38, 143.71, 141.84, 141.68, 141.63, 139.36, 134.97, 131.01, 130.94, 130.27, 129.52, 129.33, 128.14, 127.69, 127.33, 126.21, 120.03, 117.18, 112.90, 112.68, 111.83, 108.03, 98.72. MS (EI) m/z: 1291.35 [M+]. Calcd for C</w:t>
      </w:r>
      <w:r>
        <w:rPr>
          <w:bCs/>
          <w:sz w:val="24"/>
          <w:vertAlign w:val="subscript"/>
        </w:rPr>
        <w:t>90</w:t>
      </w:r>
      <w:r>
        <w:rPr>
          <w:bCs/>
          <w:sz w:val="24"/>
        </w:rPr>
        <w:t>H</w:t>
      </w:r>
      <w:r>
        <w:rPr>
          <w:bCs/>
          <w:sz w:val="24"/>
          <w:vertAlign w:val="subscript"/>
        </w:rPr>
        <w:t>56</w:t>
      </w:r>
      <w:r>
        <w:rPr>
          <w:bCs/>
          <w:sz w:val="24"/>
        </w:rPr>
        <w:t>B</w:t>
      </w:r>
      <w:r>
        <w:rPr>
          <w:bCs/>
          <w:sz w:val="24"/>
          <w:vertAlign w:val="subscript"/>
        </w:rPr>
        <w:t>2</w:t>
      </w:r>
      <w:r>
        <w:rPr>
          <w:bCs/>
          <w:sz w:val="24"/>
        </w:rPr>
        <w:t>F</w:t>
      </w:r>
      <w:r>
        <w:rPr>
          <w:bCs/>
          <w:sz w:val="24"/>
          <w:vertAlign w:val="subscript"/>
        </w:rPr>
        <w:t>4</w:t>
      </w:r>
      <w:r>
        <w:rPr>
          <w:bCs/>
          <w:sz w:val="24"/>
        </w:rPr>
        <w:t>N</w:t>
      </w:r>
      <w:r>
        <w:rPr>
          <w:bCs/>
          <w:sz w:val="24"/>
          <w:vertAlign w:val="subscript"/>
        </w:rPr>
        <w:t>4</w:t>
      </w:r>
      <w:r>
        <w:rPr>
          <w:bCs/>
          <w:sz w:val="24"/>
        </w:rPr>
        <w:t>: 1291.08.</w:t>
      </w:r>
    </w:p>
    <w:p w14:paraId="64EF3186">
      <w:pPr>
        <w:pStyle w:val="8"/>
        <w:spacing w:line="360" w:lineRule="auto"/>
        <w:rPr>
          <w:bCs/>
          <w:sz w:val="24"/>
        </w:rPr>
      </w:pPr>
    </w:p>
    <w:p w14:paraId="5859D068">
      <w:pPr>
        <w:pStyle w:val="8"/>
        <w:spacing w:line="360" w:lineRule="auto"/>
        <w:rPr>
          <w:bCs/>
          <w:sz w:val="24"/>
        </w:rPr>
      </w:pPr>
    </w:p>
    <w:p w14:paraId="3F688CB2">
      <w:pPr>
        <w:pStyle w:val="8"/>
        <w:spacing w:line="360" w:lineRule="auto"/>
        <w:rPr>
          <w:b/>
          <w:sz w:val="24"/>
        </w:rPr>
      </w:pPr>
      <w:r>
        <w:rPr>
          <w:b/>
          <w:sz w:val="24"/>
        </w:rPr>
        <w:t>Synthesis of DTP-ν-DABNA.</w:t>
      </w:r>
    </w:p>
    <w:p w14:paraId="2B39D33D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t xml:space="preserve">Using a similar synthetic procedure for DTPF-ν-DABNA, orange solid was finally obtained. Yield: 1.8 g (51.26%). </w:t>
      </w:r>
      <w:r>
        <w:rPr>
          <w:bCs/>
          <w:sz w:val="24"/>
          <w:vertAlign w:val="superscript"/>
        </w:rPr>
        <w:t>1</w:t>
      </w:r>
      <w:r>
        <w:rPr>
          <w:bCs/>
          <w:sz w:val="24"/>
        </w:rPr>
        <w:t>H NMR (400 MHz, Methylene Chloride-</w:t>
      </w:r>
      <w:r>
        <w:rPr>
          <w:bCs/>
          <w:i/>
          <w:iCs/>
          <w:sz w:val="24"/>
        </w:rPr>
        <w:t>d</w:t>
      </w:r>
      <w:r>
        <w:rPr>
          <w:bCs/>
          <w:sz w:val="24"/>
          <w:vertAlign w:val="subscript"/>
        </w:rPr>
        <w:t>2</w:t>
      </w:r>
      <w:r>
        <w:rPr>
          <w:bCs/>
          <w:sz w:val="24"/>
        </w:rPr>
        <w:t xml:space="preserve">) δ 10.42 (s, 1H), 9.17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6.0 Hz, 2H), 7.62-7.53 (m, 6H), 7.47-7.42 (m, 2H), 7.40-7.27 (m, 14H), 7.18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7.3 Hz, 12H), 6.94-6.85 (m, 12H), 6.69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8.6 Hz, 2H), 6.61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6.3 Hz, 4H), 5.73 (d, </w:t>
      </w:r>
      <w:r>
        <w:rPr>
          <w:bCs/>
          <w:i/>
          <w:iCs/>
          <w:sz w:val="24"/>
        </w:rPr>
        <w:t>J</w:t>
      </w:r>
      <w:r>
        <w:rPr>
          <w:bCs/>
          <w:sz w:val="24"/>
        </w:rPr>
        <w:t xml:space="preserve"> = 17.8 Hz, 4H), 5.55 (s, 1H).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(101 MHz, Methylene Chloride-d2) δ 150.00, 147.68, 145.87, 145.75, 143.58, 143.01, 141.90, 141.79, 141.67, 141.28, 139.68, 134.97, 130.94, 130.76, 130.54, 130.32, 129.71, 129.55, 129.48, 128.04, 127.67, 127.57, 127.25, 126.03, 124.14, 119.86, 117.05, 114.96, 110.38, 110.01, 103.05. MS (EI) m/z: 1219.28 [M+]. Calcd for C</w:t>
      </w:r>
      <w:r>
        <w:rPr>
          <w:bCs/>
          <w:sz w:val="24"/>
          <w:vertAlign w:val="subscript"/>
        </w:rPr>
        <w:t>90</w:t>
      </w:r>
      <w:r>
        <w:rPr>
          <w:bCs/>
          <w:sz w:val="24"/>
        </w:rPr>
        <w:t>H</w:t>
      </w:r>
      <w:r>
        <w:rPr>
          <w:bCs/>
          <w:sz w:val="24"/>
          <w:vertAlign w:val="subscript"/>
        </w:rPr>
        <w:t>60</w:t>
      </w:r>
      <w:r>
        <w:rPr>
          <w:bCs/>
          <w:sz w:val="24"/>
        </w:rPr>
        <w:t>B</w:t>
      </w:r>
      <w:r>
        <w:rPr>
          <w:bCs/>
          <w:sz w:val="24"/>
          <w:vertAlign w:val="subscript"/>
        </w:rPr>
        <w:t>2</w:t>
      </w:r>
      <w:r>
        <w:rPr>
          <w:bCs/>
          <w:sz w:val="24"/>
        </w:rPr>
        <w:t>N</w:t>
      </w:r>
      <w:r>
        <w:rPr>
          <w:bCs/>
          <w:sz w:val="24"/>
          <w:vertAlign w:val="subscript"/>
        </w:rPr>
        <w:t>4</w:t>
      </w:r>
      <w:r>
        <w:rPr>
          <w:bCs/>
          <w:sz w:val="24"/>
        </w:rPr>
        <w:t>: 1219.12.</w:t>
      </w:r>
    </w:p>
    <w:p w14:paraId="277F1811">
      <w:pPr>
        <w:pStyle w:val="8"/>
        <w:spacing w:line="360" w:lineRule="auto"/>
        <w:rPr>
          <w:bCs/>
          <w:sz w:val="24"/>
        </w:rPr>
      </w:pPr>
    </w:p>
    <w:p w14:paraId="61C7B562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25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MestReNova.Document.1" ShapeID="_x0000_i1025" DrawAspect="Content" ObjectID="_1468075725" r:id="rId6">
            <o:LockedField>false</o:LockedField>
          </o:OLEObject>
        </w:object>
      </w:r>
    </w:p>
    <w:p w14:paraId="45865202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26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MestReNova.Document.1" ShapeID="_x0000_i1026" DrawAspect="Content" ObjectID="_1468075726" r:id="rId8">
            <o:LockedField>false</o:LockedField>
          </o:OLEObject>
        </w:object>
      </w:r>
    </w:p>
    <w:p w14:paraId="4D04F5A9">
      <w:pPr>
        <w:pStyle w:val="8"/>
        <w:spacing w:line="360" w:lineRule="auto"/>
        <w:rPr>
          <w:bCs/>
          <w:sz w:val="24"/>
        </w:rPr>
      </w:pPr>
      <w:r>
        <w:rPr>
          <w:b/>
          <w:bCs w:val="0"/>
          <w:sz w:val="24"/>
        </w:rPr>
        <w:t>Figure S1.</w:t>
      </w:r>
      <w:r>
        <w:rPr>
          <w:bCs/>
          <w:sz w:val="24"/>
          <w:vertAlign w:val="superscript"/>
        </w:rPr>
        <w:t xml:space="preserve"> 1</w:t>
      </w:r>
      <w:r>
        <w:rPr>
          <w:bCs/>
          <w:sz w:val="24"/>
        </w:rPr>
        <w:t xml:space="preserve">H </w:t>
      </w:r>
      <w:bookmarkStart w:id="0" w:name="_Hlk150785089"/>
      <w:r>
        <w:rPr>
          <w:bCs/>
          <w:sz w:val="24"/>
        </w:rPr>
        <w:t>NMR</w:t>
      </w:r>
      <w:bookmarkEnd w:id="0"/>
      <w:r>
        <w:rPr>
          <w:bCs/>
          <w:sz w:val="24"/>
        </w:rPr>
        <w:t xml:space="preserve"> and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spectrum of compound 4.</w:t>
      </w:r>
    </w:p>
    <w:p w14:paraId="26FF8439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27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MestReNova.Document.1" ShapeID="_x0000_i1027" DrawAspect="Content" ObjectID="_1468075727" r:id="rId10">
            <o:LockedField>false</o:LockedField>
          </o:OLEObject>
        </w:object>
      </w:r>
    </w:p>
    <w:p w14:paraId="3380412B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28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MestReNova.Document.1" ShapeID="_x0000_i1028" DrawAspect="Content" ObjectID="_1468075728" r:id="rId12">
            <o:LockedField>false</o:LockedField>
          </o:OLEObject>
        </w:object>
      </w:r>
    </w:p>
    <w:p w14:paraId="5A50ECE1">
      <w:pPr>
        <w:pStyle w:val="8"/>
        <w:spacing w:line="360" w:lineRule="auto"/>
        <w:rPr>
          <w:bCs/>
          <w:sz w:val="24"/>
        </w:rPr>
      </w:pPr>
      <w:r>
        <w:rPr>
          <w:b/>
          <w:bCs w:val="0"/>
          <w:sz w:val="24"/>
        </w:rPr>
        <w:t>Figure S2.</w:t>
      </w:r>
      <w:r>
        <w:rPr>
          <w:bCs/>
          <w:sz w:val="24"/>
          <w:vertAlign w:val="superscript"/>
        </w:rPr>
        <w:t xml:space="preserve"> 1</w:t>
      </w:r>
      <w:r>
        <w:rPr>
          <w:bCs/>
          <w:sz w:val="24"/>
        </w:rPr>
        <w:t xml:space="preserve">H NMR and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spectrum of compound 6.</w:t>
      </w:r>
    </w:p>
    <w:p w14:paraId="333671DF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29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MestReNova.Document.1" ShapeID="_x0000_i1029" DrawAspect="Content" ObjectID="_1468075729" r:id="rId14">
            <o:LockedField>false</o:LockedField>
          </o:OLEObject>
        </w:object>
      </w:r>
    </w:p>
    <w:p w14:paraId="4ABB33CE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30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MestReNova.Document.1" ShapeID="_x0000_i1030" DrawAspect="Content" ObjectID="_1468075730" r:id="rId16">
            <o:LockedField>false</o:LockedField>
          </o:OLEObject>
        </w:object>
      </w:r>
    </w:p>
    <w:p w14:paraId="0ABF3DBB">
      <w:pPr>
        <w:pStyle w:val="8"/>
        <w:spacing w:line="360" w:lineRule="auto"/>
        <w:rPr>
          <w:bCs/>
          <w:sz w:val="24"/>
        </w:rPr>
      </w:pPr>
      <w:r>
        <w:rPr>
          <w:b/>
          <w:bCs w:val="0"/>
          <w:sz w:val="24"/>
        </w:rPr>
        <w:t>Figure S3.</w:t>
      </w:r>
      <w:r>
        <w:rPr>
          <w:b/>
          <w:bCs w:val="0"/>
          <w:sz w:val="24"/>
          <w:vertAlign w:val="superscript"/>
        </w:rPr>
        <w:t xml:space="preserve"> </w:t>
      </w:r>
      <w:r>
        <w:rPr>
          <w:bCs/>
          <w:sz w:val="24"/>
          <w:vertAlign w:val="superscript"/>
        </w:rPr>
        <w:t>1</w:t>
      </w:r>
      <w:r>
        <w:rPr>
          <w:bCs/>
          <w:sz w:val="24"/>
        </w:rPr>
        <w:t xml:space="preserve">H NMR and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spectrum of compound 7.</w:t>
      </w:r>
    </w:p>
    <w:p w14:paraId="67860A0F">
      <w:pPr>
        <w:pStyle w:val="8"/>
        <w:spacing w:line="360" w:lineRule="auto"/>
        <w:rPr>
          <w:bCs/>
          <w:sz w:val="24"/>
        </w:rPr>
      </w:pPr>
    </w:p>
    <w:p w14:paraId="30E00658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31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MestReNova.Document.1" ShapeID="_x0000_i1031" DrawAspect="Content" ObjectID="_1468075731" r:id="rId18">
            <o:LockedField>false</o:LockedField>
          </o:OLEObject>
        </w:object>
      </w:r>
    </w:p>
    <w:p w14:paraId="1D60289A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32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MestReNova.Document.1" ShapeID="_x0000_i1032" DrawAspect="Content" ObjectID="_1468075732" r:id="rId20">
            <o:LockedField>false</o:LockedField>
          </o:OLEObject>
        </w:object>
      </w:r>
    </w:p>
    <w:p w14:paraId="0D024C21">
      <w:pPr>
        <w:pStyle w:val="8"/>
        <w:spacing w:line="360" w:lineRule="auto"/>
        <w:rPr>
          <w:bCs/>
          <w:sz w:val="24"/>
        </w:rPr>
      </w:pPr>
      <w:r>
        <w:rPr>
          <w:b/>
          <w:bCs w:val="0"/>
          <w:sz w:val="24"/>
        </w:rPr>
        <w:t>Figure S4.</w:t>
      </w:r>
      <w:r>
        <w:rPr>
          <w:bCs/>
          <w:sz w:val="24"/>
          <w:vertAlign w:val="superscript"/>
        </w:rPr>
        <w:t xml:space="preserve"> 1</w:t>
      </w:r>
      <w:r>
        <w:rPr>
          <w:bCs/>
          <w:sz w:val="24"/>
        </w:rPr>
        <w:t xml:space="preserve">H NMR and </w:t>
      </w:r>
      <w:r>
        <w:rPr>
          <w:bCs/>
          <w:sz w:val="24"/>
          <w:vertAlign w:val="superscript"/>
        </w:rPr>
        <w:t>13</w:t>
      </w:r>
      <w:r>
        <w:rPr>
          <w:bCs/>
          <w:sz w:val="24"/>
        </w:rPr>
        <w:t>C NMR spectrum of DTPF-ν-DABNA.</w:t>
      </w:r>
    </w:p>
    <w:p w14:paraId="2C2F3999">
      <w:pPr>
        <w:pStyle w:val="8"/>
        <w:spacing w:line="360" w:lineRule="auto"/>
        <w:rPr>
          <w:bCs/>
          <w:sz w:val="24"/>
        </w:rPr>
      </w:pPr>
    </w:p>
    <w:p w14:paraId="10A74C1C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33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MestReNova.Document.1" ShapeID="_x0000_i1033" DrawAspect="Content" ObjectID="_1468075733" r:id="rId22">
            <o:LockedField>false</o:LockedField>
          </o:OLEObject>
        </w:object>
      </w:r>
    </w:p>
    <w:p w14:paraId="7D1F82FE">
      <w:pPr>
        <w:pStyle w:val="8"/>
        <w:spacing w:line="360" w:lineRule="auto"/>
        <w:rPr>
          <w:bCs/>
          <w:sz w:val="24"/>
        </w:rPr>
      </w:pPr>
      <w:r>
        <w:rPr>
          <w:bCs/>
          <w:sz w:val="24"/>
        </w:rPr>
        <w:object>
          <v:shape id="_x0000_i1034" o:spt="75" type="#_x0000_t75" style="height:289.85pt;width:415.0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MestReNova.Document.1" ShapeID="_x0000_i1034" DrawAspect="Content" ObjectID="_1468075734" r:id="rId24">
            <o:LockedField>false</o:LockedField>
          </o:OLEObject>
        </w:object>
      </w:r>
    </w:p>
    <w:p w14:paraId="3CF14CA6">
      <w:pPr>
        <w:pStyle w:val="8"/>
        <w:spacing w:line="360" w:lineRule="auto"/>
        <w:rPr>
          <w:rFonts w:hint="default" w:eastAsiaTheme="minorEastAsia"/>
          <w:bCs/>
          <w:sz w:val="24"/>
          <w:lang w:val="en-US" w:eastAsia="zh-CN"/>
        </w:rPr>
      </w:pPr>
      <w:r>
        <w:rPr>
          <w:rFonts w:eastAsiaTheme="minorEastAsia"/>
          <w:b/>
          <w:bCs w:val="0"/>
          <w:sz w:val="24"/>
          <w:lang w:eastAsia="zh-CN"/>
        </w:rPr>
        <w:t>Figure S5.</w:t>
      </w:r>
      <w:r>
        <w:rPr>
          <w:rFonts w:eastAsiaTheme="minorEastAsia"/>
          <w:bCs/>
          <w:sz w:val="24"/>
          <w:vertAlign w:val="superscript"/>
          <w:lang w:eastAsia="zh-CN"/>
        </w:rPr>
        <w:t xml:space="preserve"> 1</w:t>
      </w:r>
      <w:r>
        <w:rPr>
          <w:rFonts w:eastAsiaTheme="minorEastAsia"/>
          <w:bCs/>
          <w:sz w:val="24"/>
          <w:lang w:eastAsia="zh-CN"/>
        </w:rPr>
        <w:t xml:space="preserve">H NMR and </w:t>
      </w:r>
      <w:r>
        <w:rPr>
          <w:rFonts w:eastAsiaTheme="minorEastAsia"/>
          <w:bCs/>
          <w:sz w:val="24"/>
          <w:vertAlign w:val="superscript"/>
          <w:lang w:eastAsia="zh-CN"/>
        </w:rPr>
        <w:t>13</w:t>
      </w:r>
      <w:r>
        <w:rPr>
          <w:rFonts w:eastAsiaTheme="minorEastAsia"/>
          <w:bCs/>
          <w:sz w:val="24"/>
          <w:lang w:eastAsia="zh-CN"/>
        </w:rPr>
        <w:t>C NMR spectrum of compound DTP-ν-DABNA</w:t>
      </w:r>
      <w:r>
        <w:rPr>
          <w:rFonts w:hint="eastAsia" w:eastAsiaTheme="minorEastAsia"/>
          <w:bCs/>
          <w:sz w:val="24"/>
          <w:lang w:val="en-US" w:eastAsia="zh-CN"/>
        </w:rPr>
        <w:t>.</w:t>
      </w:r>
    </w:p>
    <w:p w14:paraId="1016583F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D1C8A6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drawing>
          <wp:inline distT="0" distB="0" distL="0" distR="0">
            <wp:extent cx="5039995" cy="2065655"/>
            <wp:effectExtent l="0" t="0" r="4445" b="0"/>
            <wp:docPr id="63561708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617087" name="图片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0660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CE3BB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</w:t>
      </w:r>
      <w:r>
        <w:rPr>
          <w:rFonts w:hint="eastAsia" w:ascii="Times New Roman" w:hAnsi="Times New Roman" w:cs="Times New Roman"/>
          <w:b/>
          <w:bCs/>
          <w:sz w:val="24"/>
          <w:szCs w:val="24"/>
        </w:rPr>
        <w:t>6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Calculation results of (a) ν-DABNA, (b) 4F-ν-DABNA and (c) ν-DABNA without diphenylamine</w:t>
      </w:r>
    </w:p>
    <w:p w14:paraId="24274AD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70B15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039995" cy="1846580"/>
            <wp:effectExtent l="0" t="0" r="4445" b="12700"/>
            <wp:docPr id="7317078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707834" name="图片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8470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111F9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</w:t>
      </w:r>
      <w:r>
        <w:rPr>
          <w:rFonts w:hint="eastAsia" w:ascii="Times New Roman" w:hAnsi="Times New Roman" w:cs="Times New Roman"/>
          <w:b/>
          <w:bCs/>
          <w:sz w:val="24"/>
          <w:szCs w:val="24"/>
        </w:rPr>
        <w:t>7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Packing mode of </w:t>
      </w:r>
      <w:r>
        <w:rPr>
          <w:rFonts w:ascii="Times New Roman" w:hAnsi="Times New Roman" w:cs="Times New Roman"/>
          <w:color w:val="000000"/>
          <w:sz w:val="24"/>
          <w:szCs w:val="24"/>
        </w:rPr>
        <w:t>DTPF-ν-DABNA (a) and DTP-ν-DABNA (b).</w:t>
      </w:r>
    </w:p>
    <w:p w14:paraId="05A1AB6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drawing>
          <wp:inline distT="0" distB="0" distL="0" distR="0">
            <wp:extent cx="5039995" cy="3036570"/>
            <wp:effectExtent l="0" t="0" r="4445" b="0"/>
            <wp:docPr id="3729228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922891" name="图片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0367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232F95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</w:t>
      </w:r>
      <w:r>
        <w:rPr>
          <w:rFonts w:hint="eastAsia" w:ascii="Times New Roman" w:hAnsi="Times New Roman" w:cs="Times New Roman"/>
          <w:b/>
          <w:bCs/>
          <w:sz w:val="24"/>
          <w:szCs w:val="24"/>
        </w:rPr>
        <w:t>8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Excited states of </w:t>
      </w:r>
      <w:r>
        <w:rPr>
          <w:rFonts w:ascii="Times New Roman" w:hAnsi="Times New Roman" w:cs="Times New Roman"/>
          <w:color w:val="000000"/>
          <w:sz w:val="24"/>
          <w:szCs w:val="24"/>
        </w:rPr>
        <w:t>DTPF-ν-DABNA and DTP-ν-DABNA.</w:t>
      </w:r>
    </w:p>
    <w:p w14:paraId="738F74E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039995" cy="2646680"/>
            <wp:effectExtent l="0" t="0" r="4445" b="0"/>
            <wp:docPr id="46343810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438104" name="图片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6470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633A92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S9.</w:t>
      </w:r>
      <w:r>
        <w:rPr>
          <w:rFonts w:ascii="Times New Roman" w:hAnsi="Times New Roman" w:cs="Times New Roman"/>
          <w:sz w:val="24"/>
          <w:szCs w:val="24"/>
        </w:rPr>
        <w:t xml:space="preserve"> Excited states of </w:t>
      </w:r>
      <w:r>
        <w:rPr>
          <w:rFonts w:ascii="Times New Roman" w:hAnsi="Times New Roman" w:cs="Times New Roman"/>
          <w:color w:val="000000"/>
          <w:sz w:val="24"/>
          <w:szCs w:val="24"/>
        </w:rPr>
        <w:t>ν-DABNA and 4F-ν-DABNA.</w:t>
      </w:r>
    </w:p>
    <w:p w14:paraId="3CAF25B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4B7A67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039995" cy="1375410"/>
            <wp:effectExtent l="0" t="0" r="0" b="0"/>
            <wp:docPr id="1915244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24425" name="图片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3754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7277B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S10.</w:t>
      </w:r>
      <w:r>
        <w:rPr>
          <w:rFonts w:ascii="Times New Roman" w:hAnsi="Times New Roman" w:cs="Times New Roman"/>
          <w:sz w:val="24"/>
          <w:szCs w:val="24"/>
        </w:rPr>
        <w:t xml:space="preserve"> TGA of DTPF-ν-DABNA (a) and DTP-ν-DABNA (b)</w:t>
      </w:r>
      <w:r>
        <w:rPr>
          <w:rFonts w:hint="eastAsia"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CV (c) curve of DTPF-ν-DABNA and DTP-ν-DABNA.</w:t>
      </w:r>
    </w:p>
    <w:p w14:paraId="106D836B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58BD49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586605" cy="3378835"/>
            <wp:effectExtent l="0" t="0" r="0" b="0"/>
            <wp:docPr id="17591909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19096" name="图片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86605" cy="3378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47F56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S11.</w:t>
      </w:r>
      <w:r>
        <w:rPr>
          <w:rFonts w:ascii="Times New Roman" w:hAnsi="Times New Roman" w:cs="Times New Roman"/>
          <w:sz w:val="24"/>
          <w:szCs w:val="24"/>
        </w:rPr>
        <w:t xml:space="preserve"> Absorption and fluorescence spectra of (a, c) </w:t>
      </w:r>
      <w:r>
        <w:rPr>
          <w:rFonts w:ascii="Times New Roman" w:hAnsi="Times New Roman" w:cs="Times New Roman"/>
          <w:color w:val="000000"/>
          <w:sz w:val="24"/>
          <w:szCs w:val="24"/>
        </w:rPr>
        <w:t>DTPF-ν-DABNA</w:t>
      </w:r>
      <w:r>
        <w:rPr>
          <w:rFonts w:ascii="Times New Roman" w:hAnsi="Times New Roman" w:cs="Times New Roman"/>
          <w:sz w:val="24"/>
          <w:szCs w:val="24"/>
        </w:rPr>
        <w:t xml:space="preserve"> and (b, d) </w:t>
      </w:r>
      <w:r>
        <w:rPr>
          <w:rFonts w:ascii="Times New Roman" w:hAnsi="Times New Roman" w:cs="Times New Roman"/>
          <w:color w:val="000000"/>
          <w:sz w:val="24"/>
          <w:szCs w:val="24"/>
        </w:rPr>
        <w:t>DTP-ν-DABNA</w:t>
      </w:r>
      <w:r>
        <w:rPr>
          <w:rFonts w:ascii="Times New Roman" w:hAnsi="Times New Roman" w:cs="Times New Roman"/>
          <w:sz w:val="24"/>
          <w:szCs w:val="24"/>
        </w:rPr>
        <w:t xml:space="preserve"> in various solvents (toluene, tetrahydrofuran, N,N-Dimethylformamide, dichloromethane, trichloromethane, 1,4-Dioxane and n-Hexane).</w:t>
      </w:r>
    </w:p>
    <w:p w14:paraId="2FEE833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BD2AC1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387850" cy="3095625"/>
            <wp:effectExtent l="0" t="0" r="0" b="0"/>
            <wp:docPr id="7959331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933175" name="图片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7850" cy="309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8E01F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S12.</w:t>
      </w:r>
      <w:r>
        <w:rPr>
          <w:rFonts w:ascii="Times New Roman" w:hAnsi="Times New Roman" w:cs="Times New Roman"/>
          <w:sz w:val="24"/>
          <w:szCs w:val="24"/>
        </w:rPr>
        <w:t xml:space="preserve"> Fluorescence spectra 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of  </w:t>
      </w:r>
      <w:r>
        <w:rPr>
          <w:rFonts w:ascii="Times New Roman" w:hAnsi="Times New Roman" w:cs="Times New Roman"/>
          <w:sz w:val="24"/>
          <w:szCs w:val="24"/>
        </w:rPr>
        <w:t>DTPF-ν-DABNA and DTP-ν-DABNA (a) PPF (</w:t>
      </w:r>
      <w:r>
        <w:rPr>
          <w:rFonts w:ascii="Times New Roman" w:hAnsi="Times New Roman" w:cs="Times New Roman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2 wt%</w:t>
      </w:r>
      <w:r>
        <w:rPr>
          <w:rFonts w:ascii="Times New Roman" w:hAnsi="Times New Roman" w:cs="Times New Roman"/>
          <w:sz w:val="24"/>
          <w:szCs w:val="24"/>
        </w:rPr>
        <w:t xml:space="preserve"> doped film) and (b) neat film , transient spectra of (c) DTPF-ν-DABNA and (d) DTP-ν-DABNA in PPF (2 wt% doped film) at different temperatures from 77 to 300 K.</w:t>
      </w:r>
    </w:p>
    <w:p w14:paraId="3083FA9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CC53DC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274310" cy="3221990"/>
            <wp:effectExtent l="0" t="0" r="0" b="0"/>
            <wp:docPr id="2344579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457993" name="图片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48" b="129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08A7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039995" cy="3155950"/>
            <wp:effectExtent l="0" t="0" r="4445" b="0"/>
            <wp:docPr id="88901457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014579" name="图片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15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A58C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S13.</w:t>
      </w:r>
      <w:r>
        <w:rPr>
          <w:rFonts w:ascii="Times New Roman" w:hAnsi="Times New Roman" w:cs="Times New Roman"/>
          <w:sz w:val="24"/>
          <w:szCs w:val="24"/>
        </w:rPr>
        <w:t xml:space="preserve"> Energy-level diagram and chemical structures of the materials for the OLEDs based on DTPF-ν-DABNA and DTP-ν-DABNA as MR-TADF emitters.</w:t>
      </w:r>
    </w:p>
    <w:p w14:paraId="62F33F7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6" w:name="_GoBack"/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401945" cy="3871595"/>
            <wp:effectExtent l="0" t="0" r="0" b="0"/>
            <wp:docPr id="19812540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254024" name="图片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1945" cy="3871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6"/>
    </w:p>
    <w:p w14:paraId="6C971BA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S14.</w:t>
      </w:r>
      <w:r>
        <w:rPr>
          <w:rFonts w:ascii="Times New Roman" w:hAnsi="Times New Roman" w:cs="Times New Roman"/>
          <w:sz w:val="24"/>
          <w:szCs w:val="24"/>
        </w:rPr>
        <w:t xml:space="preserve"> Current efficiency (CE) versus power efficiency (PE) versus luminance characteristics.</w:t>
      </w:r>
    </w:p>
    <w:p w14:paraId="39D96995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444365" cy="3401695"/>
            <wp:effectExtent l="0" t="0" r="0" b="0"/>
            <wp:docPr id="130250467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504678" name="图片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4365" cy="340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A00A8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S15.</w:t>
      </w:r>
      <w:r>
        <w:rPr>
          <w:rFonts w:ascii="Times New Roman" w:hAnsi="Times New Roman" w:cs="Times New Roman"/>
          <w:sz w:val="24"/>
          <w:szCs w:val="24"/>
        </w:rPr>
        <w:t xml:space="preserve"> Device lifetime of DTPF-ν-DABNA and DTP-ν-DABNA.</w:t>
      </w:r>
    </w:p>
    <w:p w14:paraId="50FFA1B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2C19800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Table S1</w:t>
      </w:r>
      <w:r>
        <w:rPr>
          <w:rFonts w:ascii="Times New Roman" w:hAnsi="Times New Roman" w:cs="Times New Roman"/>
          <w:color w:val="000000"/>
          <w:sz w:val="24"/>
          <w:szCs w:val="24"/>
        </w:rPr>
        <w:t>. Crystal parameters for DTPF-ν-DABNA and DTP-ν-DABNA.</w:t>
      </w:r>
    </w:p>
    <w:tbl>
      <w:tblPr>
        <w:tblStyle w:val="5"/>
        <w:tblW w:w="500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8"/>
        <w:gridCol w:w="3196"/>
        <w:gridCol w:w="2648"/>
      </w:tblGrid>
      <w:tr w14:paraId="04028F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6" w:hRule="atLeast"/>
          <w:jc w:val="center"/>
        </w:trPr>
        <w:tc>
          <w:tcPr>
            <w:tcW w:w="1571" w:type="pct"/>
            <w:tcBorders>
              <w:top w:val="single" w:color="auto" w:sz="8" w:space="0"/>
              <w:bottom w:val="single" w:color="auto" w:sz="8" w:space="0"/>
            </w:tcBorders>
            <w:noWrap/>
            <w:vAlign w:val="center"/>
          </w:tcPr>
          <w:p w14:paraId="47F1143D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Identification code</w:t>
            </w:r>
          </w:p>
        </w:tc>
        <w:tc>
          <w:tcPr>
            <w:tcW w:w="1875" w:type="pct"/>
            <w:tcBorders>
              <w:top w:val="single" w:color="auto" w:sz="8" w:space="0"/>
              <w:bottom w:val="single" w:color="auto" w:sz="8" w:space="0"/>
            </w:tcBorders>
            <w:noWrap/>
            <w:vAlign w:val="center"/>
          </w:tcPr>
          <w:p w14:paraId="06A249A5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DTPF-ν-DABNA</w:t>
            </w:r>
          </w:p>
        </w:tc>
        <w:tc>
          <w:tcPr>
            <w:tcW w:w="1554" w:type="pct"/>
            <w:tcBorders>
              <w:top w:val="single" w:color="auto" w:sz="8" w:space="0"/>
              <w:bottom w:val="single" w:color="auto" w:sz="8" w:space="0"/>
            </w:tcBorders>
            <w:noWrap/>
            <w:vAlign w:val="center"/>
          </w:tcPr>
          <w:p w14:paraId="1AEFFE7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DTP-ν-DABNA</w:t>
            </w:r>
          </w:p>
        </w:tc>
      </w:tr>
      <w:tr w14:paraId="7B92E9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tcBorders>
              <w:top w:val="single" w:color="auto" w:sz="8" w:space="0"/>
            </w:tcBorders>
            <w:noWrap/>
            <w:vAlign w:val="center"/>
          </w:tcPr>
          <w:p w14:paraId="71507A48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Empirical formula</w:t>
            </w:r>
          </w:p>
        </w:tc>
        <w:tc>
          <w:tcPr>
            <w:tcW w:w="1875" w:type="pct"/>
            <w:tcBorders>
              <w:top w:val="single" w:color="auto" w:sz="8" w:space="0"/>
            </w:tcBorders>
            <w:noWrap/>
            <w:vAlign w:val="center"/>
          </w:tcPr>
          <w:p w14:paraId="3770005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90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56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554" w:type="pct"/>
            <w:tcBorders>
              <w:top w:val="single" w:color="auto" w:sz="8" w:space="0"/>
            </w:tcBorders>
            <w:vAlign w:val="center"/>
          </w:tcPr>
          <w:p w14:paraId="5EC9B789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90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60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</w:tr>
      <w:tr w14:paraId="1EF880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4E22E77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Formula weight</w:t>
            </w:r>
          </w:p>
        </w:tc>
        <w:tc>
          <w:tcPr>
            <w:tcW w:w="1875" w:type="pct"/>
            <w:noWrap/>
            <w:vAlign w:val="center"/>
          </w:tcPr>
          <w:p w14:paraId="2C162615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1291</w:t>
            </w:r>
          </w:p>
        </w:tc>
        <w:tc>
          <w:tcPr>
            <w:tcW w:w="1554" w:type="pct"/>
            <w:noWrap/>
            <w:vAlign w:val="center"/>
          </w:tcPr>
          <w:p w14:paraId="68BFBE68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1219.04</w:t>
            </w:r>
          </w:p>
        </w:tc>
      </w:tr>
      <w:tr w14:paraId="7916C4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3E5D5412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Temperature/K</w:t>
            </w:r>
          </w:p>
        </w:tc>
        <w:tc>
          <w:tcPr>
            <w:tcW w:w="1875" w:type="pct"/>
            <w:noWrap/>
            <w:vAlign w:val="center"/>
          </w:tcPr>
          <w:p w14:paraId="1D6F0631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170</w:t>
            </w:r>
          </w:p>
        </w:tc>
        <w:tc>
          <w:tcPr>
            <w:tcW w:w="1554" w:type="pct"/>
            <w:noWrap/>
            <w:vAlign w:val="center"/>
          </w:tcPr>
          <w:p w14:paraId="474D3C80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</w:tr>
      <w:tr w14:paraId="345C3C9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798CB9EA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Crystal system</w:t>
            </w:r>
          </w:p>
        </w:tc>
        <w:tc>
          <w:tcPr>
            <w:tcW w:w="1875" w:type="pct"/>
            <w:noWrap/>
            <w:vAlign w:val="center"/>
          </w:tcPr>
          <w:p w14:paraId="26C54AB5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monoclinic</w:t>
            </w:r>
          </w:p>
        </w:tc>
        <w:tc>
          <w:tcPr>
            <w:tcW w:w="1554" w:type="pct"/>
            <w:noWrap/>
            <w:vAlign w:val="center"/>
          </w:tcPr>
          <w:p w14:paraId="79CFCF9A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triclinic</w:t>
            </w:r>
          </w:p>
        </w:tc>
      </w:tr>
      <w:tr w14:paraId="61740F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518D00B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Space group</w:t>
            </w:r>
          </w:p>
        </w:tc>
        <w:tc>
          <w:tcPr>
            <w:tcW w:w="1875" w:type="pct"/>
            <w:noWrap/>
            <w:vAlign w:val="center"/>
          </w:tcPr>
          <w:p w14:paraId="29612521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/c</w:t>
            </w:r>
          </w:p>
        </w:tc>
        <w:tc>
          <w:tcPr>
            <w:tcW w:w="1554" w:type="pct"/>
            <w:noWrap/>
            <w:vAlign w:val="center"/>
          </w:tcPr>
          <w:p w14:paraId="0EDA22C1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P-1</w:t>
            </w:r>
          </w:p>
        </w:tc>
      </w:tr>
      <w:tr w14:paraId="232701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3C8AE160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a/Å</w:t>
            </w:r>
          </w:p>
        </w:tc>
        <w:tc>
          <w:tcPr>
            <w:tcW w:w="1875" w:type="pct"/>
            <w:noWrap/>
            <w:vAlign w:val="center"/>
          </w:tcPr>
          <w:p w14:paraId="36F5052E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17.1615(8)</w:t>
            </w:r>
          </w:p>
        </w:tc>
        <w:tc>
          <w:tcPr>
            <w:tcW w:w="1554" w:type="pct"/>
            <w:vAlign w:val="center"/>
          </w:tcPr>
          <w:p w14:paraId="70D47F5D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13.8558(11)</w:t>
            </w:r>
          </w:p>
        </w:tc>
      </w:tr>
      <w:tr w14:paraId="341DF2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2A7E0333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b/Å</w:t>
            </w:r>
          </w:p>
        </w:tc>
        <w:tc>
          <w:tcPr>
            <w:tcW w:w="1875" w:type="pct"/>
            <w:noWrap/>
            <w:vAlign w:val="center"/>
          </w:tcPr>
          <w:p w14:paraId="3F4D858F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14.0010(6)</w:t>
            </w:r>
          </w:p>
        </w:tc>
        <w:tc>
          <w:tcPr>
            <w:tcW w:w="1554" w:type="pct"/>
            <w:vAlign w:val="center"/>
          </w:tcPr>
          <w:p w14:paraId="1C09841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16.8935(15)</w:t>
            </w:r>
          </w:p>
        </w:tc>
      </w:tr>
      <w:tr w14:paraId="737E9D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7BF67BA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c/Å</w:t>
            </w:r>
          </w:p>
        </w:tc>
        <w:tc>
          <w:tcPr>
            <w:tcW w:w="1875" w:type="pct"/>
            <w:noWrap/>
            <w:vAlign w:val="center"/>
          </w:tcPr>
          <w:p w14:paraId="39F28F95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33.9349(16)</w:t>
            </w:r>
          </w:p>
        </w:tc>
        <w:tc>
          <w:tcPr>
            <w:tcW w:w="1554" w:type="pct"/>
            <w:vAlign w:val="center"/>
          </w:tcPr>
          <w:p w14:paraId="297B1FC5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21.1023(18)</w:t>
            </w:r>
          </w:p>
        </w:tc>
      </w:tr>
      <w:tr w14:paraId="7901D5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5B79E95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α/°</w:t>
            </w:r>
          </w:p>
        </w:tc>
        <w:tc>
          <w:tcPr>
            <w:tcW w:w="1875" w:type="pct"/>
            <w:noWrap/>
            <w:vAlign w:val="center"/>
          </w:tcPr>
          <w:p w14:paraId="6EF99D4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554" w:type="pct"/>
            <w:vAlign w:val="center"/>
          </w:tcPr>
          <w:p w14:paraId="79136B21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102.224(3)</w:t>
            </w:r>
          </w:p>
        </w:tc>
      </w:tr>
      <w:tr w14:paraId="166360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567B0E45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β/°</w:t>
            </w:r>
          </w:p>
        </w:tc>
        <w:tc>
          <w:tcPr>
            <w:tcW w:w="1875" w:type="pct"/>
            <w:noWrap/>
            <w:vAlign w:val="center"/>
          </w:tcPr>
          <w:p w14:paraId="49DF524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101.338(2)</w:t>
            </w:r>
          </w:p>
        </w:tc>
        <w:tc>
          <w:tcPr>
            <w:tcW w:w="1554" w:type="pct"/>
            <w:vAlign w:val="center"/>
          </w:tcPr>
          <w:p w14:paraId="1764F04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104.161(2)</w:t>
            </w:r>
          </w:p>
        </w:tc>
      </w:tr>
      <w:tr w14:paraId="171A6C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7D767CF3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γ/°</w:t>
            </w:r>
          </w:p>
        </w:tc>
        <w:tc>
          <w:tcPr>
            <w:tcW w:w="1875" w:type="pct"/>
            <w:noWrap/>
            <w:vAlign w:val="center"/>
          </w:tcPr>
          <w:p w14:paraId="45A46A31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554" w:type="pct"/>
            <w:vAlign w:val="center"/>
          </w:tcPr>
          <w:p w14:paraId="4F8AB3A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108.425(2)</w:t>
            </w:r>
          </w:p>
        </w:tc>
      </w:tr>
      <w:tr w14:paraId="1A28B3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6BB7ACA3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Volume/Å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875" w:type="pct"/>
            <w:noWrap/>
            <w:vAlign w:val="center"/>
          </w:tcPr>
          <w:p w14:paraId="0066DDCF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7994.7(6)</w:t>
            </w:r>
          </w:p>
        </w:tc>
        <w:tc>
          <w:tcPr>
            <w:tcW w:w="1554" w:type="pct"/>
            <w:vAlign w:val="center"/>
          </w:tcPr>
          <w:p w14:paraId="0557F398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4313.7(6)</w:t>
            </w:r>
          </w:p>
        </w:tc>
      </w:tr>
      <w:tr w14:paraId="1046DD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2687E1A3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Z</w:t>
            </w:r>
          </w:p>
        </w:tc>
        <w:tc>
          <w:tcPr>
            <w:tcW w:w="1875" w:type="pct"/>
            <w:noWrap/>
            <w:vAlign w:val="center"/>
          </w:tcPr>
          <w:p w14:paraId="45E7E30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554" w:type="pct"/>
            <w:vAlign w:val="center"/>
          </w:tcPr>
          <w:p w14:paraId="6BFE27B9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14:paraId="0374E5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099BAE92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ρ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calc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g/cm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875" w:type="pct"/>
            <w:noWrap/>
            <w:vAlign w:val="center"/>
          </w:tcPr>
          <w:p w14:paraId="3484BEE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1.073</w:t>
            </w:r>
          </w:p>
        </w:tc>
        <w:tc>
          <w:tcPr>
            <w:tcW w:w="1554" w:type="pct"/>
            <w:vAlign w:val="center"/>
          </w:tcPr>
          <w:p w14:paraId="639C6FA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0.939</w:t>
            </w:r>
          </w:p>
        </w:tc>
      </w:tr>
      <w:tr w14:paraId="1259B7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3693C0C0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μ/mm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noBreakHyphen/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1</w:t>
            </w:r>
          </w:p>
        </w:tc>
        <w:tc>
          <w:tcPr>
            <w:tcW w:w="1875" w:type="pct"/>
            <w:noWrap/>
            <w:vAlign w:val="center"/>
          </w:tcPr>
          <w:p w14:paraId="5D565A45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0.068</w:t>
            </w:r>
          </w:p>
        </w:tc>
        <w:tc>
          <w:tcPr>
            <w:tcW w:w="1554" w:type="pct"/>
            <w:vAlign w:val="center"/>
          </w:tcPr>
          <w:p w14:paraId="54D1DEB5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0.054</w:t>
            </w:r>
          </w:p>
        </w:tc>
      </w:tr>
      <w:tr w14:paraId="519EC3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16D5D328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F(000)</w:t>
            </w:r>
          </w:p>
        </w:tc>
        <w:tc>
          <w:tcPr>
            <w:tcW w:w="1875" w:type="pct"/>
            <w:noWrap/>
            <w:vAlign w:val="center"/>
          </w:tcPr>
          <w:p w14:paraId="24125EC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2680</w:t>
            </w:r>
          </w:p>
        </w:tc>
        <w:tc>
          <w:tcPr>
            <w:tcW w:w="1554" w:type="pct"/>
            <w:vAlign w:val="center"/>
          </w:tcPr>
          <w:p w14:paraId="6FCAC970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1276</w:t>
            </w:r>
          </w:p>
        </w:tc>
      </w:tr>
      <w:tr w14:paraId="753725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52ACA840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Crystal size/mm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875" w:type="pct"/>
            <w:noWrap/>
            <w:vAlign w:val="center"/>
          </w:tcPr>
          <w:p w14:paraId="44BF8EBE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0.15 × 0.08 × 0.05</w:t>
            </w:r>
          </w:p>
        </w:tc>
        <w:tc>
          <w:tcPr>
            <w:tcW w:w="1554" w:type="pct"/>
            <w:vAlign w:val="center"/>
          </w:tcPr>
          <w:p w14:paraId="03D3F3A8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0.12 × 0.07 × 0.04</w:t>
            </w:r>
          </w:p>
        </w:tc>
      </w:tr>
      <w:tr w14:paraId="128EE2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5FA01BA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Radiation</w:t>
            </w:r>
          </w:p>
        </w:tc>
        <w:tc>
          <w:tcPr>
            <w:tcW w:w="1875" w:type="pct"/>
            <w:noWrap/>
            <w:vAlign w:val="center"/>
          </w:tcPr>
          <w:p w14:paraId="1C518D31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MoKα (λ = 0.71073)</w:t>
            </w:r>
          </w:p>
        </w:tc>
        <w:tc>
          <w:tcPr>
            <w:tcW w:w="1554" w:type="pct"/>
            <w:vAlign w:val="center"/>
          </w:tcPr>
          <w:p w14:paraId="7FA25B20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MoKα (λ = 0.71073)</w:t>
            </w:r>
          </w:p>
        </w:tc>
      </w:tr>
      <w:tr w14:paraId="651D55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0E81BC5A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2Θ range for data collection/°</w:t>
            </w:r>
          </w:p>
        </w:tc>
        <w:tc>
          <w:tcPr>
            <w:tcW w:w="1875" w:type="pct"/>
            <w:noWrap/>
            <w:vAlign w:val="center"/>
          </w:tcPr>
          <w:p w14:paraId="222376B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3.828 to 51.422</w:t>
            </w:r>
          </w:p>
        </w:tc>
        <w:tc>
          <w:tcPr>
            <w:tcW w:w="1554" w:type="pct"/>
            <w:vAlign w:val="center"/>
          </w:tcPr>
          <w:p w14:paraId="458D9F19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3.884 to 52.884</w:t>
            </w:r>
          </w:p>
        </w:tc>
      </w:tr>
      <w:tr w14:paraId="501F1D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316229A9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Index ranges</w:t>
            </w:r>
          </w:p>
        </w:tc>
        <w:tc>
          <w:tcPr>
            <w:tcW w:w="1875" w:type="pct"/>
            <w:noWrap/>
            <w:vAlign w:val="center"/>
          </w:tcPr>
          <w:p w14:paraId="1DE4F8AF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-20 ≤ h ≤ 20, -17 ≤ k ≤ 16, -39 ≤ l ≤ 41</w:t>
            </w:r>
          </w:p>
        </w:tc>
        <w:tc>
          <w:tcPr>
            <w:tcW w:w="1554" w:type="pct"/>
            <w:vAlign w:val="center"/>
          </w:tcPr>
          <w:p w14:paraId="74252591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-15 ≤ h ≤ 17, -21 ≤ k ≤ 20, -26 ≤ l ≤ 26</w:t>
            </w:r>
          </w:p>
        </w:tc>
      </w:tr>
      <w:tr w14:paraId="0C8A9B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54B2A1A1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Reflections collected</w:t>
            </w:r>
          </w:p>
        </w:tc>
        <w:tc>
          <w:tcPr>
            <w:tcW w:w="1875" w:type="pct"/>
            <w:noWrap/>
            <w:vAlign w:val="center"/>
          </w:tcPr>
          <w:p w14:paraId="63EF74DA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51828</w:t>
            </w:r>
          </w:p>
        </w:tc>
        <w:tc>
          <w:tcPr>
            <w:tcW w:w="1554" w:type="pct"/>
            <w:vAlign w:val="center"/>
          </w:tcPr>
          <w:p w14:paraId="7462C774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45482</w:t>
            </w:r>
          </w:p>
        </w:tc>
      </w:tr>
      <w:tr w14:paraId="10212A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3C79D98D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Independent reflections</w:t>
            </w:r>
          </w:p>
        </w:tc>
        <w:tc>
          <w:tcPr>
            <w:tcW w:w="1875" w:type="pct"/>
            <w:noWrap/>
            <w:vAlign w:val="center"/>
          </w:tcPr>
          <w:p w14:paraId="299BC31A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14904 [R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int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0.0801, 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sigma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0.0827]</w:t>
            </w:r>
          </w:p>
        </w:tc>
        <w:tc>
          <w:tcPr>
            <w:tcW w:w="1554" w:type="pct"/>
            <w:vAlign w:val="center"/>
          </w:tcPr>
          <w:p w14:paraId="57987DD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17247 [R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int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0.0683, 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sigma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0.0938]</w:t>
            </w:r>
          </w:p>
        </w:tc>
      </w:tr>
      <w:tr w14:paraId="00617F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636298D5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Data/restraints/parameters</w:t>
            </w:r>
          </w:p>
        </w:tc>
        <w:tc>
          <w:tcPr>
            <w:tcW w:w="1875" w:type="pct"/>
            <w:noWrap/>
            <w:vAlign w:val="center"/>
          </w:tcPr>
          <w:p w14:paraId="588E10E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14904/0/901</w:t>
            </w:r>
          </w:p>
        </w:tc>
        <w:tc>
          <w:tcPr>
            <w:tcW w:w="1554" w:type="pct"/>
            <w:vAlign w:val="center"/>
          </w:tcPr>
          <w:p w14:paraId="5D2C1D00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17247/0/865</w:t>
            </w:r>
          </w:p>
        </w:tc>
      </w:tr>
      <w:tr w14:paraId="51FF92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3755530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Goodness-of-fit on F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875" w:type="pct"/>
            <w:noWrap/>
            <w:vAlign w:val="center"/>
          </w:tcPr>
          <w:p w14:paraId="5F5ED37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1.039</w:t>
            </w:r>
          </w:p>
        </w:tc>
        <w:tc>
          <w:tcPr>
            <w:tcW w:w="1554" w:type="pct"/>
            <w:vAlign w:val="center"/>
          </w:tcPr>
          <w:p w14:paraId="53E34CA1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1.048</w:t>
            </w:r>
          </w:p>
        </w:tc>
      </w:tr>
      <w:tr w14:paraId="69EEED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54A44CC8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Final R indexes [I&gt;=2σ (I)]</w:t>
            </w:r>
          </w:p>
        </w:tc>
        <w:tc>
          <w:tcPr>
            <w:tcW w:w="1875" w:type="pct"/>
            <w:noWrap/>
            <w:vAlign w:val="center"/>
          </w:tcPr>
          <w:p w14:paraId="3E228067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0.0553, wR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0.1294</w:t>
            </w:r>
          </w:p>
        </w:tc>
        <w:tc>
          <w:tcPr>
            <w:tcW w:w="1554" w:type="pct"/>
            <w:vAlign w:val="center"/>
          </w:tcPr>
          <w:p w14:paraId="4CA4D0E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0.0958, wR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0.2628</w:t>
            </w:r>
          </w:p>
        </w:tc>
      </w:tr>
      <w:tr w14:paraId="3B5167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noWrap/>
            <w:vAlign w:val="center"/>
          </w:tcPr>
          <w:p w14:paraId="0E187C8C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Final R indexes [all data]</w:t>
            </w:r>
          </w:p>
        </w:tc>
        <w:tc>
          <w:tcPr>
            <w:tcW w:w="1875" w:type="pct"/>
            <w:noWrap/>
            <w:vAlign w:val="center"/>
          </w:tcPr>
          <w:p w14:paraId="5C6EAE92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0.1013, wR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0.1487</w:t>
            </w:r>
          </w:p>
        </w:tc>
        <w:tc>
          <w:tcPr>
            <w:tcW w:w="1554" w:type="pct"/>
            <w:vAlign w:val="center"/>
          </w:tcPr>
          <w:p w14:paraId="1D2BFB38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0.1521, wR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= 0.2974</w:t>
            </w:r>
          </w:p>
        </w:tc>
      </w:tr>
      <w:tr w14:paraId="04FD42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1571" w:type="pct"/>
            <w:tcBorders>
              <w:bottom w:val="single" w:color="auto" w:sz="8" w:space="0"/>
            </w:tcBorders>
            <w:noWrap/>
            <w:vAlign w:val="center"/>
          </w:tcPr>
          <w:p w14:paraId="3CFEDF72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Largest diff. peak/hole / e Å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-3</w:t>
            </w:r>
          </w:p>
        </w:tc>
        <w:tc>
          <w:tcPr>
            <w:tcW w:w="1875" w:type="pct"/>
            <w:tcBorders>
              <w:bottom w:val="single" w:color="auto" w:sz="8" w:space="0"/>
            </w:tcBorders>
            <w:noWrap/>
            <w:vAlign w:val="center"/>
          </w:tcPr>
          <w:p w14:paraId="18CEF3F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0.21/-0.22</w:t>
            </w:r>
          </w:p>
        </w:tc>
        <w:tc>
          <w:tcPr>
            <w:tcW w:w="1554" w:type="pct"/>
            <w:tcBorders>
              <w:bottom w:val="single" w:color="auto" w:sz="8" w:space="0"/>
            </w:tcBorders>
            <w:vAlign w:val="center"/>
          </w:tcPr>
          <w:p w14:paraId="5672964F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0.66/-0.39</w:t>
            </w:r>
          </w:p>
        </w:tc>
      </w:tr>
    </w:tbl>
    <w:p w14:paraId="2EBC07D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E00E85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Table S2.</w:t>
      </w:r>
      <w:r>
        <w:rPr>
          <w:rFonts w:ascii="Times New Roman" w:hAnsi="Times New Roman" w:cs="Times New Roman"/>
          <w:sz w:val="24"/>
          <w:szCs w:val="24"/>
        </w:rPr>
        <w:t xml:space="preserve"> Photophysical properties of DTP-ν-DABNA and DTPF-ν-DABNA.</w:t>
      </w:r>
    </w:p>
    <w:tbl>
      <w:tblPr>
        <w:tblStyle w:val="5"/>
        <w:tblW w:w="847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3"/>
        <w:gridCol w:w="1964"/>
        <w:gridCol w:w="1641"/>
        <w:gridCol w:w="1106"/>
        <w:gridCol w:w="1096"/>
      </w:tblGrid>
      <w:tr w14:paraId="57B015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387" w:type="dxa"/>
            <w:vMerge w:val="restart"/>
            <w:tcBorders>
              <w:top w:val="single" w:color="auto" w:sz="8" w:space="0"/>
              <w:bottom w:val="single" w:color="auto" w:sz="8" w:space="0"/>
            </w:tcBorders>
            <w:vAlign w:val="center"/>
          </w:tcPr>
          <w:p w14:paraId="73DEF898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Solvent</w:t>
            </w:r>
          </w:p>
        </w:tc>
        <w:tc>
          <w:tcPr>
            <w:tcW w:w="1870" w:type="dxa"/>
            <w:tcBorders>
              <w:top w:val="single" w:color="auto" w:sz="8" w:space="0"/>
            </w:tcBorders>
            <w:vAlign w:val="center"/>
          </w:tcPr>
          <w:p w14:paraId="4BF3E3FE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DTPF-ν-DABNA</w:t>
            </w:r>
          </w:p>
        </w:tc>
        <w:tc>
          <w:tcPr>
            <w:tcW w:w="1870" w:type="dxa"/>
            <w:tcBorders>
              <w:top w:val="single" w:color="auto" w:sz="8" w:space="0"/>
            </w:tcBorders>
          </w:tcPr>
          <w:p w14:paraId="667E5C04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343" w:type="dxa"/>
            <w:gridSpan w:val="2"/>
            <w:tcBorders>
              <w:top w:val="single" w:color="auto" w:sz="8" w:space="0"/>
            </w:tcBorders>
            <w:vAlign w:val="center"/>
          </w:tcPr>
          <w:p w14:paraId="189CF001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DTP-ν-DABNA</w:t>
            </w:r>
          </w:p>
        </w:tc>
      </w:tr>
      <w:tr w14:paraId="52DE45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</w:trPr>
        <w:tc>
          <w:tcPr>
            <w:tcW w:w="2387" w:type="dxa"/>
            <w:vMerge w:val="continue"/>
            <w:tcBorders>
              <w:top w:val="single" w:color="auto" w:sz="8" w:space="0"/>
              <w:bottom w:val="single" w:color="auto" w:sz="8" w:space="0"/>
            </w:tcBorders>
          </w:tcPr>
          <w:p w14:paraId="19257B62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70" w:type="dxa"/>
          </w:tcPr>
          <w:p w14:paraId="4DFB0D48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l-GR"/>
              </w:rPr>
              <w:t>λ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  <w:lang w:val="de-DE"/>
              </w:rPr>
              <w:t>PL</w:t>
            </w:r>
          </w:p>
        </w:tc>
        <w:tc>
          <w:tcPr>
            <w:tcW w:w="1870" w:type="dxa"/>
          </w:tcPr>
          <w:p w14:paraId="33396337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FWHM</w:t>
            </w:r>
          </w:p>
        </w:tc>
        <w:tc>
          <w:tcPr>
            <w:tcW w:w="1247" w:type="dxa"/>
          </w:tcPr>
          <w:p w14:paraId="3BA00993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l-GR"/>
              </w:rPr>
              <w:t>λ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  <w:lang w:val="de-DE"/>
              </w:rPr>
              <w:t>PL</w:t>
            </w:r>
          </w:p>
        </w:tc>
        <w:tc>
          <w:tcPr>
            <w:tcW w:w="1095" w:type="dxa"/>
          </w:tcPr>
          <w:p w14:paraId="059C2905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FWHM</w:t>
            </w:r>
          </w:p>
        </w:tc>
      </w:tr>
      <w:tr w14:paraId="65D070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</w:trPr>
        <w:tc>
          <w:tcPr>
            <w:tcW w:w="2387" w:type="dxa"/>
            <w:vMerge w:val="continue"/>
            <w:tcBorders>
              <w:top w:val="single" w:color="auto" w:sz="8" w:space="0"/>
              <w:bottom w:val="single" w:color="auto" w:sz="8" w:space="0"/>
            </w:tcBorders>
          </w:tcPr>
          <w:p w14:paraId="3419A782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70" w:type="dxa"/>
            <w:tcBorders>
              <w:bottom w:val="single" w:color="auto" w:sz="8" w:space="0"/>
            </w:tcBorders>
          </w:tcPr>
          <w:p w14:paraId="573C025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nm</w:t>
            </w:r>
          </w:p>
        </w:tc>
        <w:tc>
          <w:tcPr>
            <w:tcW w:w="1870" w:type="dxa"/>
            <w:tcBorders>
              <w:bottom w:val="single" w:color="auto" w:sz="8" w:space="0"/>
            </w:tcBorders>
          </w:tcPr>
          <w:p w14:paraId="343199F8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nm</w:t>
            </w:r>
          </w:p>
        </w:tc>
        <w:tc>
          <w:tcPr>
            <w:tcW w:w="1247" w:type="dxa"/>
            <w:tcBorders>
              <w:bottom w:val="single" w:color="auto" w:sz="8" w:space="0"/>
            </w:tcBorders>
          </w:tcPr>
          <w:p w14:paraId="6DEC8FF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nm</w:t>
            </w:r>
          </w:p>
        </w:tc>
        <w:tc>
          <w:tcPr>
            <w:tcW w:w="1095" w:type="dxa"/>
            <w:tcBorders>
              <w:bottom w:val="single" w:color="auto" w:sz="8" w:space="0"/>
            </w:tcBorders>
          </w:tcPr>
          <w:p w14:paraId="275AEA04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nm</w:t>
            </w:r>
          </w:p>
        </w:tc>
      </w:tr>
      <w:tr w14:paraId="616BE2F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2387" w:type="dxa"/>
            <w:tcBorders>
              <w:top w:val="single" w:color="auto" w:sz="8" w:space="0"/>
            </w:tcBorders>
          </w:tcPr>
          <w:p w14:paraId="087E57F1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n-Hexane</w:t>
            </w:r>
          </w:p>
        </w:tc>
        <w:tc>
          <w:tcPr>
            <w:tcW w:w="1870" w:type="dxa"/>
            <w:tcBorders>
              <w:top w:val="single" w:color="auto" w:sz="8" w:space="0"/>
            </w:tcBorders>
          </w:tcPr>
          <w:p w14:paraId="72005E8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466</w:t>
            </w:r>
          </w:p>
        </w:tc>
        <w:tc>
          <w:tcPr>
            <w:tcW w:w="1870" w:type="dxa"/>
            <w:tcBorders>
              <w:top w:val="single" w:color="auto" w:sz="8" w:space="0"/>
            </w:tcBorders>
          </w:tcPr>
          <w:p w14:paraId="1337B17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247" w:type="dxa"/>
            <w:tcBorders>
              <w:top w:val="single" w:color="auto" w:sz="8" w:space="0"/>
            </w:tcBorders>
          </w:tcPr>
          <w:p w14:paraId="5AA1150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474</w:t>
            </w:r>
          </w:p>
        </w:tc>
        <w:tc>
          <w:tcPr>
            <w:tcW w:w="1095" w:type="dxa"/>
            <w:tcBorders>
              <w:top w:val="single" w:color="auto" w:sz="8" w:space="0"/>
            </w:tcBorders>
          </w:tcPr>
          <w:p w14:paraId="70B16B3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14:paraId="213EE8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387" w:type="dxa"/>
          </w:tcPr>
          <w:p w14:paraId="02F01068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Toluene</w:t>
            </w:r>
          </w:p>
        </w:tc>
        <w:tc>
          <w:tcPr>
            <w:tcW w:w="1870" w:type="dxa"/>
          </w:tcPr>
          <w:p w14:paraId="4EB208F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474</w:t>
            </w:r>
          </w:p>
        </w:tc>
        <w:tc>
          <w:tcPr>
            <w:tcW w:w="1870" w:type="dxa"/>
          </w:tcPr>
          <w:p w14:paraId="1F1006B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247" w:type="dxa"/>
          </w:tcPr>
          <w:p w14:paraId="44DE706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484</w:t>
            </w:r>
          </w:p>
        </w:tc>
        <w:tc>
          <w:tcPr>
            <w:tcW w:w="1095" w:type="dxa"/>
          </w:tcPr>
          <w:p w14:paraId="248BC63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14:paraId="5BBA6E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387" w:type="dxa"/>
          </w:tcPr>
          <w:p w14:paraId="057B46A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1,4-Dioxane</w:t>
            </w:r>
          </w:p>
        </w:tc>
        <w:tc>
          <w:tcPr>
            <w:tcW w:w="1870" w:type="dxa"/>
          </w:tcPr>
          <w:p w14:paraId="6552847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473</w:t>
            </w:r>
          </w:p>
        </w:tc>
        <w:tc>
          <w:tcPr>
            <w:tcW w:w="1870" w:type="dxa"/>
          </w:tcPr>
          <w:p w14:paraId="29B045C9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247" w:type="dxa"/>
          </w:tcPr>
          <w:p w14:paraId="6A71FC38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482</w:t>
            </w:r>
          </w:p>
        </w:tc>
        <w:tc>
          <w:tcPr>
            <w:tcW w:w="1095" w:type="dxa"/>
          </w:tcPr>
          <w:p w14:paraId="31E5E62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14:paraId="5785389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9" w:hRule="atLeast"/>
        </w:trPr>
        <w:tc>
          <w:tcPr>
            <w:tcW w:w="2387" w:type="dxa"/>
          </w:tcPr>
          <w:p w14:paraId="1A2E47F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Tetrahydrofuran</w:t>
            </w:r>
          </w:p>
        </w:tc>
        <w:tc>
          <w:tcPr>
            <w:tcW w:w="1870" w:type="dxa"/>
          </w:tcPr>
          <w:p w14:paraId="7C8CC22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477</w:t>
            </w:r>
          </w:p>
        </w:tc>
        <w:tc>
          <w:tcPr>
            <w:tcW w:w="1870" w:type="dxa"/>
          </w:tcPr>
          <w:p w14:paraId="3F0114B4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47" w:type="dxa"/>
          </w:tcPr>
          <w:p w14:paraId="2784229F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487</w:t>
            </w:r>
          </w:p>
        </w:tc>
        <w:tc>
          <w:tcPr>
            <w:tcW w:w="1095" w:type="dxa"/>
          </w:tcPr>
          <w:p w14:paraId="1330F07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14:paraId="6B6299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387" w:type="dxa"/>
          </w:tcPr>
          <w:p w14:paraId="2CD86693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Trichloromethane</w:t>
            </w:r>
          </w:p>
        </w:tc>
        <w:tc>
          <w:tcPr>
            <w:tcW w:w="1870" w:type="dxa"/>
          </w:tcPr>
          <w:p w14:paraId="04E3E2F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478</w:t>
            </w:r>
          </w:p>
        </w:tc>
        <w:tc>
          <w:tcPr>
            <w:tcW w:w="1870" w:type="dxa"/>
          </w:tcPr>
          <w:p w14:paraId="35868468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47" w:type="dxa"/>
          </w:tcPr>
          <w:p w14:paraId="0492547D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490</w:t>
            </w:r>
          </w:p>
        </w:tc>
        <w:tc>
          <w:tcPr>
            <w:tcW w:w="1095" w:type="dxa"/>
          </w:tcPr>
          <w:p w14:paraId="7CBFF68E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14:paraId="4B2D3A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2387" w:type="dxa"/>
          </w:tcPr>
          <w:p w14:paraId="40B31CD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144144678"/>
            <w:r>
              <w:rPr>
                <w:rFonts w:ascii="Times New Roman" w:hAnsi="Times New Roman" w:cs="Times New Roman"/>
                <w:sz w:val="24"/>
                <w:szCs w:val="24"/>
              </w:rPr>
              <w:t>Dichloromethane</w:t>
            </w:r>
            <w:bookmarkEnd w:id="1"/>
          </w:p>
        </w:tc>
        <w:tc>
          <w:tcPr>
            <w:tcW w:w="1870" w:type="dxa"/>
          </w:tcPr>
          <w:p w14:paraId="32658BE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480</w:t>
            </w:r>
          </w:p>
        </w:tc>
        <w:tc>
          <w:tcPr>
            <w:tcW w:w="1870" w:type="dxa"/>
          </w:tcPr>
          <w:p w14:paraId="7CB571D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247" w:type="dxa"/>
          </w:tcPr>
          <w:p w14:paraId="57DE0DA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491</w:t>
            </w:r>
          </w:p>
        </w:tc>
        <w:tc>
          <w:tcPr>
            <w:tcW w:w="1095" w:type="dxa"/>
          </w:tcPr>
          <w:p w14:paraId="7CBF1FA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14:paraId="518CFF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</w:trPr>
        <w:tc>
          <w:tcPr>
            <w:tcW w:w="2387" w:type="dxa"/>
            <w:tcBorders>
              <w:bottom w:val="single" w:color="auto" w:sz="8" w:space="0"/>
            </w:tcBorders>
          </w:tcPr>
          <w:p w14:paraId="2126763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" w:name="_Hlk144144686"/>
            <w:r>
              <w:rPr>
                <w:rFonts w:ascii="Times New Roman" w:hAnsi="Times New Roman" w:cs="Times New Roman"/>
                <w:sz w:val="24"/>
                <w:szCs w:val="24"/>
              </w:rPr>
              <w:t>N,N-Dimethylformamide</w:t>
            </w:r>
            <w:bookmarkEnd w:id="2"/>
          </w:p>
        </w:tc>
        <w:tc>
          <w:tcPr>
            <w:tcW w:w="1870" w:type="dxa"/>
            <w:tcBorders>
              <w:bottom w:val="single" w:color="auto" w:sz="8" w:space="0"/>
            </w:tcBorders>
          </w:tcPr>
          <w:p w14:paraId="5B92961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481</w:t>
            </w:r>
          </w:p>
        </w:tc>
        <w:tc>
          <w:tcPr>
            <w:tcW w:w="1870" w:type="dxa"/>
            <w:tcBorders>
              <w:bottom w:val="single" w:color="auto" w:sz="8" w:space="0"/>
            </w:tcBorders>
          </w:tcPr>
          <w:p w14:paraId="2194D65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47" w:type="dxa"/>
            <w:tcBorders>
              <w:bottom w:val="single" w:color="auto" w:sz="8" w:space="0"/>
            </w:tcBorders>
          </w:tcPr>
          <w:p w14:paraId="65EF5CE2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490</w:t>
            </w:r>
          </w:p>
        </w:tc>
        <w:tc>
          <w:tcPr>
            <w:tcW w:w="1095" w:type="dxa"/>
            <w:tcBorders>
              <w:bottom w:val="single" w:color="auto" w:sz="8" w:space="0"/>
            </w:tcBorders>
          </w:tcPr>
          <w:p w14:paraId="2ACB3A6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</w:tbl>
    <w:p w14:paraId="391CF781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0759F0D">
      <w:pPr>
        <w:spacing w:after="0" w:line="360" w:lineRule="auto"/>
        <w:jc w:val="both"/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Table S3.</w:t>
      </w:r>
      <w:r>
        <w:rPr>
          <w:rFonts w:ascii="Times New Roman" w:hAnsi="Times New Roman" w:cs="Times New Roman"/>
          <w:sz w:val="24"/>
          <w:szCs w:val="24"/>
        </w:rPr>
        <w:t xml:space="preserve"> Photophysical properties DTP-ν-DABNA and DTPF-ν-DABNA in doped PPF films (2 wt%)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tbl>
      <w:tblPr>
        <w:tblStyle w:val="4"/>
        <w:tblW w:w="8708" w:type="dxa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847"/>
        <w:gridCol w:w="1045"/>
        <w:gridCol w:w="1165"/>
        <w:gridCol w:w="726"/>
        <w:gridCol w:w="827"/>
        <w:gridCol w:w="827"/>
        <w:gridCol w:w="719"/>
        <w:gridCol w:w="833"/>
        <w:gridCol w:w="719"/>
      </w:tblGrid>
      <w:tr w14:paraId="048ABFF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39" w:hRule="atLeast"/>
        </w:trPr>
        <w:tc>
          <w:tcPr>
            <w:tcW w:w="0" w:type="auto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5B63891E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bookmarkStart w:id="3" w:name="_Hlk164439266"/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Compound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1490241C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lang w:val="az-Cyrl-AZ"/>
              </w:rPr>
              <w:t>Ф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bscript"/>
                <w:lang w:val="de-DE"/>
              </w:rPr>
              <w:t>PF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lang w:val="de-DE"/>
              </w:rPr>
              <w:t>/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lang w:val="az-Cyrl-AZ"/>
              </w:rPr>
              <w:t>Ф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bscript"/>
                <w:lang w:val="de-DE"/>
              </w:rPr>
              <w:t>DF</w:t>
            </w:r>
          </w:p>
          <w:p w14:paraId="78C60256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lang w:val="de-DE"/>
              </w:rPr>
              <w:t>%/%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5F5497F9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lang w:val="el-GR"/>
              </w:rPr>
              <w:t>τ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PF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/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lang w:val="el-GR"/>
              </w:rPr>
              <w:t>τ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DF</w:t>
            </w:r>
          </w:p>
          <w:p w14:paraId="4B571987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ns/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lang w:val="el-GR"/>
              </w:rPr>
              <w:t>μ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s</w:t>
            </w:r>
          </w:p>
        </w:tc>
        <w:tc>
          <w:tcPr>
            <w:tcW w:w="726" w:type="dxa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77B235C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k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PF</w:t>
            </w:r>
          </w:p>
          <w:p w14:paraId="7A088006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×10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8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 xml:space="preserve"> s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-1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33244CD5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k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DF</w:t>
            </w:r>
          </w:p>
          <w:p w14:paraId="12A45B60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×10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4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 xml:space="preserve"> s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-1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46523D1A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k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r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S</w:t>
            </w:r>
          </w:p>
          <w:p w14:paraId="5BFEF65F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×10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8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 xml:space="preserve"> s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-1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F3E71E0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k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ISC</w:t>
            </w:r>
          </w:p>
          <w:p w14:paraId="79A396A2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×10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7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 xml:space="preserve"> s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-1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13D6B326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k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RISC</w:t>
            </w:r>
          </w:p>
          <w:p w14:paraId="2EA37AAB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×10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5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 xml:space="preserve"> s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-1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0A5BEFF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k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bscript"/>
              </w:rPr>
              <w:t>nr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S</w:t>
            </w:r>
          </w:p>
          <w:p w14:paraId="019D246B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×10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6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 xml:space="preserve"> s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  <w:t>-1</w:t>
            </w:r>
          </w:p>
        </w:tc>
      </w:tr>
      <w:tr w14:paraId="4B36F29C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33" w:hRule="atLeast"/>
        </w:trPr>
        <w:tc>
          <w:tcPr>
            <w:tcW w:w="0" w:type="auto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59F23453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DTPF-ν-DABNA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3BCE4D33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67.4/31.8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7474751E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3.40/11.66</w:t>
            </w:r>
          </w:p>
        </w:tc>
        <w:tc>
          <w:tcPr>
            <w:tcW w:w="726" w:type="dxa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2BDE6B4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2.94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3A4842F6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8.58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013D9A5B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1.98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357575F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9.41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38BFA7D6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1.26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B96974B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1.60</w:t>
            </w:r>
          </w:p>
        </w:tc>
      </w:tr>
      <w:tr w14:paraId="676EE6E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" w:hRule="atLeast"/>
        </w:trPr>
        <w:tc>
          <w:tcPr>
            <w:tcW w:w="0" w:type="auto"/>
            <w:tcBorders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160626C3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DTP-ν-DABNA</w:t>
            </w:r>
          </w:p>
        </w:tc>
        <w:tc>
          <w:tcPr>
            <w:tcW w:w="0" w:type="auto"/>
            <w:tcBorders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0509C363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53.4/42.1</w:t>
            </w:r>
          </w:p>
        </w:tc>
        <w:tc>
          <w:tcPr>
            <w:tcW w:w="0" w:type="auto"/>
            <w:tcBorders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62995773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2.98/13.15</w:t>
            </w:r>
          </w:p>
        </w:tc>
        <w:tc>
          <w:tcPr>
            <w:tcW w:w="726" w:type="dxa"/>
            <w:tcBorders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FBCB03E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3.36</w:t>
            </w:r>
          </w:p>
        </w:tc>
        <w:tc>
          <w:tcPr>
            <w:tcW w:w="0" w:type="auto"/>
            <w:tcBorders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74C20FB7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7.60</w:t>
            </w:r>
          </w:p>
        </w:tc>
        <w:tc>
          <w:tcPr>
            <w:tcW w:w="0" w:type="auto"/>
            <w:tcBorders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53E1CD79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1.79</w:t>
            </w:r>
          </w:p>
        </w:tc>
        <w:tc>
          <w:tcPr>
            <w:tcW w:w="0" w:type="auto"/>
            <w:tcBorders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8948DAD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14.8</w:t>
            </w:r>
          </w:p>
        </w:tc>
        <w:tc>
          <w:tcPr>
            <w:tcW w:w="0" w:type="auto"/>
            <w:tcBorders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160BDCD9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1.36</w:t>
            </w:r>
          </w:p>
        </w:tc>
        <w:tc>
          <w:tcPr>
            <w:tcW w:w="0" w:type="auto"/>
            <w:tcBorders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02430BF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8.44</w:t>
            </w:r>
          </w:p>
        </w:tc>
      </w:tr>
      <w:tr w14:paraId="41BB3A6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" w:hRule="atLeast"/>
        </w:trPr>
        <w:tc>
          <w:tcPr>
            <w:tcW w:w="8708" w:type="dxa"/>
            <w:gridSpan w:val="9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35" w:type="dxa"/>
              <w:left w:w="69" w:type="dxa"/>
              <w:bottom w:w="35" w:type="dxa"/>
              <w:right w:w="69" w:type="dxa"/>
            </w:tcMar>
            <w:vAlign w:val="center"/>
          </w:tcPr>
          <w:p w14:paraId="249D0BC1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In this work, the doped films of 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>DTP-ν-DABNA and DTPF-ν-DABNA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do not exhibit phosphorescence emission at 300 K. In other words, the efficiency of phosphorescence is zero (Ф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Phos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= 0). Thus, the quantum efficiency of delayed emission (Ф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DE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) is equal to the efficiency of delayed fluorescence (Ф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DF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). Thus, the quantum efficiencies of prompt (Ф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PF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) and delayed emission (Ф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DF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) are evaluated by the corrected estimation method and the rate constants were calculated according to the reported method</w:t>
            </w:r>
            <w:r>
              <w:rPr>
                <w:rFonts w:hint="eastAsia" w:ascii="Times New Roman" w:hAnsi="Times New Roman" w:cs="Times New Roman"/>
                <w:color w:val="000000" w:themeColor="text1"/>
                <w:sz w:val="24"/>
                <w:szCs w:val="24"/>
                <w:vertAlign w:val="superscript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[4]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.</w:t>
            </w:r>
          </w:p>
          <w:p w14:paraId="37D8AACE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m:oMathPara>
              <m:oMath>
                <m:sSub>
                  <m:sSub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PF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r>
                  <m:rPr/>
                  <w:rPr>
                    <w:rFonts w:hint="default" w:ascii="Cambria Math" w:hAnsi="Cambria Math" w:cs="Times New Roman"/>
                    <w:color w:val="000000" w:themeColor="text1"/>
                    <w:sz w:val="24"/>
                    <w:szCs w:val="24"/>
                    <w14:textFill>
                      <w14:solidFill>
                        <w14:schemeClr w14:val="tx1"/>
                      </w14:solidFill>
                    </w14:textFill>
                  </w:rPr>
                  <m:t xml:space="preserve">= </m:t>
                </m:r>
                <m:f>
                  <m:f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fPr>
                  <m:num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1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num>
                  <m:den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τ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PF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n>
                </m:f>
              </m:oMath>
            </m:oMathPara>
          </w:p>
          <w:p w14:paraId="0E1D6373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m:oMathPara>
              <m:oMath>
                <m:sSub>
                  <m:sSub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DF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r>
                  <m:rPr/>
                  <w:rPr>
                    <w:rFonts w:hint="default" w:ascii="Cambria Math" w:hAnsi="Cambria Math" w:cs="Times New Roman"/>
                    <w:color w:val="000000" w:themeColor="text1"/>
                    <w:sz w:val="24"/>
                    <w:szCs w:val="24"/>
                    <w14:textFill>
                      <w14:solidFill>
                        <w14:schemeClr w14:val="tx1"/>
                      </w14:solidFill>
                    </w14:textFill>
                  </w:rPr>
                  <m:t xml:space="preserve">= </m:t>
                </m:r>
                <m:f>
                  <m:f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fPr>
                  <m:num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1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num>
                  <m:den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τ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DF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n>
                </m:f>
              </m:oMath>
            </m:oMathPara>
          </w:p>
          <w:p w14:paraId="187CF89D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m:oMathPara>
              <m:oMath>
                <m:sSubSup>
                  <m:sSubSup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Sup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r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  <m:sup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S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p>
                </m:sSubSup>
                <m:r>
                  <m:rPr/>
                  <w:rPr>
                    <w:rFonts w:hint="default" w:ascii="Cambria Math" w:hAnsi="Cambria Math" w:cs="Times New Roman"/>
                    <w:color w:val="000000" w:themeColor="text1"/>
                    <w:sz w:val="24"/>
                    <w:szCs w:val="24"/>
                    <w14:textFill>
                      <w14:solidFill>
                        <w14:schemeClr w14:val="tx1"/>
                      </w14:solidFill>
                    </w14:textFill>
                  </w:rPr>
                  <m:t xml:space="preserve">= </m:t>
                </m:r>
                <m:sSub>
                  <m:sSub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PF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sSub>
                  <m:sSub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Φ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PF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</m:oMath>
            </m:oMathPara>
          </w:p>
          <w:p w14:paraId="0D5A5D9B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m:oMathPara>
              <m:oMath>
                <m:sSubSup>
                  <m:sSubSup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Sup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nr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  <m:sup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S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p>
                </m:sSubSup>
                <m:r>
                  <m:rPr/>
                  <w:rPr>
                    <w:rFonts w:hint="default" w:ascii="Cambria Math" w:hAnsi="Cambria Math" w:cs="Times New Roman"/>
                    <w:color w:val="000000" w:themeColor="text1"/>
                    <w:sz w:val="24"/>
                    <w:szCs w:val="24"/>
                    <w14:textFill>
                      <w14:solidFill>
                        <w14:schemeClr w14:val="tx1"/>
                      </w14:solidFill>
                    </w14:textFill>
                  </w:rPr>
                  <m:t xml:space="preserve">= </m:t>
                </m:r>
                <m:sSub>
                  <m:sSub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PF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f>
                  <m:f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Φ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PF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num>
                  <m:den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Φ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all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n>
                </m:f>
                <m:r>
                  <m:rPr/>
                  <w:rPr>
                    <w:rFonts w:hint="default" w:ascii="Cambria Math" w:hAnsi="Cambria Math" w:cs="Times New Roman"/>
                    <w:color w:val="000000" w:themeColor="text1"/>
                    <w:sz w:val="24"/>
                    <w:szCs w:val="24"/>
                    <w14:textFill>
                      <w14:solidFill>
                        <w14:schemeClr w14:val="tx1"/>
                      </w14:solidFill>
                    </w14:textFill>
                  </w:rPr>
                  <m:t xml:space="preserve">(1− </m:t>
                </m:r>
                <m:sSub>
                  <m:sSub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Φ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all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r>
                  <m:rPr/>
                  <w:rPr>
                    <w:rFonts w:hint="default" w:ascii="Cambria Math" w:hAnsi="Cambria Math" w:cs="Times New Roman"/>
                    <w:color w:val="000000" w:themeColor="text1"/>
                    <w:sz w:val="24"/>
                    <w:szCs w:val="24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</m:oMath>
            </m:oMathPara>
          </w:p>
          <w:p w14:paraId="5EC5AA1F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m:oMathPara>
              <m:oMath>
                <m:sSub>
                  <m:sSub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ISC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r>
                  <m:rPr/>
                  <w:rPr>
                    <w:rFonts w:hint="default" w:ascii="Cambria Math" w:hAnsi="Cambria Math" w:cs="Times New Roman"/>
                    <w:color w:val="000000" w:themeColor="text1"/>
                    <w:sz w:val="24"/>
                    <w:szCs w:val="24"/>
                    <w14:textFill>
                      <w14:solidFill>
                        <w14:schemeClr w14:val="tx1"/>
                      </w14:solidFill>
                    </w14:textFill>
                  </w:rPr>
                  <m:t xml:space="preserve">= </m:t>
                </m:r>
                <m:sSub>
                  <m:sSub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PF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f>
                  <m:f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Φ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DF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num>
                  <m:den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Φ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all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n>
                </m:f>
                <m:r>
                  <m:rPr/>
                  <w:rPr>
                    <w:rFonts w:hint="default" w:ascii="Cambria Math" w:hAnsi="Cambria Math" w:cs="Times New Roman"/>
                    <w:color w:val="000000" w:themeColor="text1"/>
                    <w:sz w:val="24"/>
                    <w:szCs w:val="24"/>
                    <w14:textFill>
                      <w14:solidFill>
                        <w14:schemeClr w14:val="tx1"/>
                      </w14:solidFill>
                    </w14:textFill>
                  </w:rPr>
                  <m:t xml:space="preserve">− </m:t>
                </m:r>
                <m:sSub>
                  <m:sSub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DF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f>
                  <m:f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Φ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DF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num>
                  <m:den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Φ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PF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n>
                </m:f>
              </m:oMath>
            </m:oMathPara>
          </w:p>
          <w:p w14:paraId="601C448C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m:oMathPara>
              <m:oMath>
                <m:sSub>
                  <m:sSub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RISC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r>
                  <m:rPr/>
                  <w:rPr>
                    <w:rFonts w:hint="default" w:ascii="Cambria Math" w:hAnsi="Cambria Math" w:cs="Times New Roman"/>
                    <w:color w:val="000000" w:themeColor="text1"/>
                    <w:sz w:val="24"/>
                    <w:szCs w:val="24"/>
                    <w14:textFill>
                      <w14:solidFill>
                        <w14:schemeClr w14:val="tx1"/>
                      </w14:solidFill>
                    </w14:textFill>
                  </w:rPr>
                  <m:t xml:space="preserve">= </m:t>
                </m:r>
                <m:sSub>
                  <m:sSub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DF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</m:sSub>
                <m:f>
                  <m:f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Φ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all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num>
                  <m:den>
                    <m:sSub>
                      <m:sSubP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SubPr>
                      <m:e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Φ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e>
                      <m:sub>
                        <m:r>
                          <m:rPr/>
                          <w:rPr>
                            <w:rFonts w:hint="default" w:ascii="Cambria Math" w:hAnsi="Cambria Math" w:cs="Times New Roman"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m:t>PF</m:t>
                        </m:r>
                        <m:ctrlPr>
                          <w:rPr>
                            <w:rFonts w:hint="default" w:ascii="Cambria Math" w:hAnsi="Cambria Math" w:cs="Times New Roman"/>
                            <w:i/>
                            <w:color w:val="000000" w:themeColor="text1"/>
                            <w:sz w:val="24"/>
                            <w:szCs w:val="24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</m:ctrlPr>
                      </m:sub>
                    </m:sSub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n>
                </m:f>
              </m:oMath>
            </m:oMathPara>
          </w:p>
          <w:p w14:paraId="377E8E2B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m:oMathPara>
              <m:oMath>
                <m:sSubSup>
                  <m:sSubSupP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SubSupPr>
                  <m:e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k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e>
                  <m:sub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nr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b>
                  <m:sup>
                    <m:r>
                      <m:rPr/>
                      <w:rPr>
                        <w:rFonts w:hint="default" w:ascii="Cambria Math" w:hAnsi="Cambria Math" w:cs="Times New Roman"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T</m:t>
                    </m:r>
                    <m:ctrlPr>
                      <w:rPr>
                        <w:rFonts w:hint="default" w:ascii="Cambria Math" w:hAnsi="Cambria Math" w:cs="Times New Roman"/>
                        <w:i/>
                        <w:color w:val="000000" w:themeColor="text1"/>
                        <w:sz w:val="24"/>
                        <w:szCs w:val="24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sup>
                </m:sSubSup>
                <m:r>
                  <m:rPr/>
                  <w:rPr>
                    <w:rFonts w:hint="default" w:ascii="Cambria Math" w:hAnsi="Cambria Math" w:cs="Times New Roman"/>
                    <w:color w:val="000000" w:themeColor="text1"/>
                    <w:sz w:val="24"/>
                    <w:szCs w:val="24"/>
                    <w14:textFill>
                      <w14:solidFill>
                        <w14:schemeClr w14:val="tx1"/>
                      </w14:solidFill>
                    </w14:textFill>
                  </w:rPr>
                  <m:t>=0</m:t>
                </m:r>
              </m:oMath>
            </m:oMathPara>
          </w:p>
          <w:p w14:paraId="0D20E343">
            <w:pPr>
              <w:spacing w:after="0"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where </w:t>
            </w:r>
            <w:r>
              <w:rPr>
                <w:rFonts w:hint="default" w:ascii="Times New Roman" w:hAnsi="Times New Roman" w:cs="Times New Roman"/>
                <w:i/>
                <w:i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k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PF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and </w:t>
            </w:r>
            <w:r>
              <w:rPr>
                <w:rFonts w:hint="default" w:ascii="Times New Roman" w:hAnsi="Times New Roman" w:cs="Times New Roman"/>
                <w:i/>
                <w:i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k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DF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are the radiative decay rate for prompt and delayed fluorescence, respectively, 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lang w:val="az-Cyrl-AZ"/>
                <w14:textFill>
                  <w14:solidFill>
                    <w14:schemeClr w14:val="tx1"/>
                  </w14:solidFill>
                </w14:textFill>
              </w:rPr>
              <w:t>Ф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:lang w:val="az-Cyrl-AZ"/>
                <w14:textFill>
                  <w14:solidFill>
                    <w14:schemeClr w14:val="tx1"/>
                  </w14:solidFill>
                </w14:textFill>
              </w:rPr>
              <w:t>all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lang w:val="az-Cyrl-AZ"/>
                <w14:textFill>
                  <w14:solidFill>
                    <w14:schemeClr w14:val="tx1"/>
                  </w14:solidFill>
                </w14:textFill>
              </w:rPr>
              <w:t xml:space="preserve"> is the total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photoluminescence quantum efficiency, </w:t>
            </w:r>
            <w:r>
              <w:rPr>
                <w:rFonts w:hint="default" w:ascii="Times New Roman" w:hAnsi="Times New Roman" w:cs="Times New Roman"/>
                <w:i/>
                <w:i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K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r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perscript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and </w:t>
            </w:r>
            <w:r>
              <w:rPr>
                <w:rFonts w:hint="default" w:ascii="Times New Roman" w:hAnsi="Times New Roman" w:cs="Times New Roman"/>
                <w:i/>
                <w:i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k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nr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perscript"/>
                <w14:textFill>
                  <w14:solidFill>
                    <w14:schemeClr w14:val="tx1"/>
                  </w14:solidFill>
                </w14:textFill>
              </w:rPr>
              <w:t>S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are the radiative and nonradiative decay rate constants from a singlet excited state, respectively, </w:t>
            </w:r>
            <w:r>
              <w:rPr>
                <w:rFonts w:hint="default" w:ascii="Times New Roman" w:hAnsi="Times New Roman" w:cs="Times New Roman"/>
                <w:i/>
                <w:i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k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ISC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and </w:t>
            </w:r>
            <w:r>
              <w:rPr>
                <w:rFonts w:hint="default" w:ascii="Times New Roman" w:hAnsi="Times New Roman" w:cs="Times New Roman"/>
                <w:i/>
                <w:i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k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RISC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are the intersystem crossing and reverse intersystem crossing rate constants,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respectively,</w:t>
            </w:r>
            <w:r>
              <w:rPr>
                <w:rFonts w:hint="default" w:ascii="Times New Roman" w:hAnsi="Times New Roman" w:cs="Times New Roman"/>
                <w:i/>
                <w:i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k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bscript"/>
                <w14:textFill>
                  <w14:solidFill>
                    <w14:schemeClr w14:val="tx1"/>
                  </w14:solidFill>
                </w14:textFill>
              </w:rPr>
              <w:t>nr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:vertAlign w:val="superscript"/>
                <w14:textFill>
                  <w14:solidFill>
                    <w14:schemeClr w14:val="tx1"/>
                  </w14:solidFill>
                </w14:textFill>
              </w:rPr>
              <w:t>T</w:t>
            </w:r>
            <w:r>
              <w:rPr>
                <w:rFonts w:hint="default" w:ascii="Times New Roman" w:hAnsi="Times New Roman" w:cs="Times New Roman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 xml:space="preserve"> is the nonradiative decay rate constant from a triplet excited state.</w:t>
            </w:r>
          </w:p>
        </w:tc>
      </w:tr>
      <w:bookmarkEnd w:id="3"/>
    </w:tbl>
    <w:p w14:paraId="0E4652A2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4" w:name="_Hlk154739837"/>
    </w:p>
    <w:p w14:paraId="2269614A">
      <w:pPr>
        <w:shd w:val="clear" w:color="auto" w:fill="FFFFFF"/>
        <w:spacing w:after="0" w:line="360" w:lineRule="auto"/>
        <w:jc w:val="both"/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Table S4.</w:t>
      </w:r>
      <w:r>
        <w:rPr>
          <w:rFonts w:ascii="Times New Roman" w:hAnsi="Times New Roman" w:cs="Times New Roman"/>
          <w:sz w:val="24"/>
          <w:szCs w:val="24"/>
        </w:rPr>
        <w:t xml:space="preserve"> Summary of OLED device performance utilizing </w:t>
      </w:r>
      <w:r>
        <w:rPr>
          <w:rFonts w:ascii="Times New Roman" w:hAnsi="Times New Roman" w:cs="Times New Roman"/>
          <w:b/>
          <w:bCs/>
          <w:sz w:val="24"/>
          <w:szCs w:val="24"/>
        </w:rPr>
        <w:t>ν-DABNA</w:t>
      </w:r>
      <w:r>
        <w:rPr>
          <w:rFonts w:ascii="Times New Roman" w:hAnsi="Times New Roman" w:cs="Times New Roman"/>
          <w:sz w:val="24"/>
          <w:szCs w:val="24"/>
        </w:rPr>
        <w:t>, DTPF-</w:t>
      </w:r>
      <w:r>
        <w:rPr>
          <w:rFonts w:ascii="Times New Roman" w:hAnsi="Times New Roman" w:cs="Times New Roman"/>
          <w:sz w:val="24"/>
          <w:szCs w:val="24"/>
          <w:lang w:val="el-GR"/>
        </w:rPr>
        <w:t>ν</w:t>
      </w:r>
      <w:r>
        <w:rPr>
          <w:rFonts w:ascii="Times New Roman" w:hAnsi="Times New Roman" w:cs="Times New Roman"/>
          <w:sz w:val="24"/>
          <w:szCs w:val="24"/>
        </w:rPr>
        <w:t>-DABNA and DTP-</w:t>
      </w:r>
      <w:r>
        <w:rPr>
          <w:rFonts w:ascii="Times New Roman" w:hAnsi="Times New Roman" w:cs="Times New Roman"/>
          <w:sz w:val="24"/>
          <w:szCs w:val="24"/>
          <w:lang w:val="el-GR"/>
        </w:rPr>
        <w:t>ν</w:t>
      </w:r>
      <w:r>
        <w:rPr>
          <w:rFonts w:ascii="Times New Roman" w:hAnsi="Times New Roman" w:cs="Times New Roman"/>
          <w:sz w:val="24"/>
          <w:szCs w:val="24"/>
        </w:rPr>
        <w:t>-DABNA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tbl>
      <w:tblPr>
        <w:tblStyle w:val="4"/>
        <w:tblW w:w="8323" w:type="dxa"/>
        <w:jc w:val="cente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852"/>
        <w:gridCol w:w="992"/>
        <w:gridCol w:w="1701"/>
        <w:gridCol w:w="1843"/>
        <w:gridCol w:w="1935"/>
      </w:tblGrid>
      <w:tr w14:paraId="2C8A57D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852" w:type="dxa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FC62B2D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  <w:t>Dopant</w:t>
            </w:r>
          </w:p>
        </w:tc>
        <w:tc>
          <w:tcPr>
            <w:tcW w:w="992" w:type="dxa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0732847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l-GR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l-GR"/>
              </w:rPr>
              <w:t>x</w:t>
            </w:r>
          </w:p>
          <w:p w14:paraId="4CDCF7D8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l-GR"/>
              </w:rPr>
              <w:t>(wt%)</w:t>
            </w:r>
          </w:p>
        </w:tc>
        <w:tc>
          <w:tcPr>
            <w:tcW w:w="1701" w:type="dxa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41D0152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  <w:lang w:val="de-D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  <w:t>CE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  <w:lang w:val="de-DE"/>
              </w:rPr>
              <w:t>max/10/100/1000</w:t>
            </w:r>
          </w:p>
          <w:p w14:paraId="77C8772F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  <w:t>(cd A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  <w:lang w:val="de-DE"/>
              </w:rPr>
              <w:t>-1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  <w:t>)</w:t>
            </w:r>
          </w:p>
        </w:tc>
        <w:tc>
          <w:tcPr>
            <w:tcW w:w="1843" w:type="dxa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0914274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  <w:lang w:val="de-D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  <w:t>PE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  <w:lang w:val="de-DE"/>
              </w:rPr>
              <w:t xml:space="preserve"> max/10/100/1000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  <w:lang w:val="de-DE"/>
              </w:rPr>
              <w:t xml:space="preserve"> </w:t>
            </w:r>
          </w:p>
          <w:p w14:paraId="3FAF4A10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  <w:t>(lm W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  <w:lang w:val="de-DE"/>
              </w:rPr>
              <w:t>-1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  <w:t>)</w:t>
            </w:r>
          </w:p>
        </w:tc>
        <w:tc>
          <w:tcPr>
            <w:tcW w:w="1935" w:type="dxa"/>
            <w:tcBorders>
              <w:top w:val="single" w:color="auto" w:sz="8" w:space="0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2B90D32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  <w:t>EQE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  <w:lang w:val="de-DE"/>
              </w:rPr>
              <w:t xml:space="preserve"> max/10/100/1000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  <w:lang w:val="de-DE"/>
              </w:rPr>
              <w:t xml:space="preserve"> </w:t>
            </w:r>
          </w:p>
          <w:p w14:paraId="503C18A5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de-DE"/>
              </w:rPr>
              <w:t>%)</w:t>
            </w:r>
          </w:p>
        </w:tc>
      </w:tr>
      <w:tr w14:paraId="09DBC7A6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852" w:type="dxa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258D481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ν-DABNA</w:t>
            </w:r>
          </w:p>
        </w:tc>
        <w:tc>
          <w:tcPr>
            <w:tcW w:w="992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4DD4D4E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8EB6727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31.0/-/29.5/23.2</w:t>
            </w:r>
          </w:p>
        </w:tc>
        <w:tc>
          <w:tcPr>
            <w:tcW w:w="1843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9E11763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25.6/-/20.8/11.7</w:t>
            </w:r>
          </w:p>
        </w:tc>
        <w:tc>
          <w:tcPr>
            <w:tcW w:w="1935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B4B1118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34.4/-/32.8/26.0</w:t>
            </w:r>
          </w:p>
        </w:tc>
      </w:tr>
      <w:tr w14:paraId="25925FD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852" w:type="dxa"/>
            <w:vMerge w:val="restart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F86DD6E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DTPF-ν-DABNA</w:t>
            </w:r>
          </w:p>
        </w:tc>
        <w:tc>
          <w:tcPr>
            <w:tcW w:w="992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3E9B2A9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777ADE0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40.0/33.7/22.8/7.8</w:t>
            </w:r>
          </w:p>
        </w:tc>
        <w:tc>
          <w:tcPr>
            <w:tcW w:w="1843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55631DC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40.5/33.1/19.3/4.4</w:t>
            </w:r>
          </w:p>
        </w:tc>
        <w:tc>
          <w:tcPr>
            <w:tcW w:w="1935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6C38356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36.0/28.9/18.5/6.3</w:t>
            </w:r>
          </w:p>
        </w:tc>
      </w:tr>
      <w:tr w14:paraId="2211268C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852" w:type="dxa"/>
            <w:vMerge w:val="continue"/>
            <w:tcBorders>
              <w:left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B73C6FE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3A60333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2D577D9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40.0/33.7/21.3/6.6</w:t>
            </w:r>
          </w:p>
        </w:tc>
        <w:tc>
          <w:tcPr>
            <w:tcW w:w="1843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2637BC6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40.4/32.8/17.8/3.4</w:t>
            </w:r>
          </w:p>
        </w:tc>
        <w:tc>
          <w:tcPr>
            <w:tcW w:w="1935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D9040C1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34.2/27.3/18.2/5.7</w:t>
            </w:r>
          </w:p>
        </w:tc>
      </w:tr>
      <w:tr w14:paraId="0059604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852" w:type="dxa"/>
            <w:vMerge w:val="continue"/>
            <w:tcBorders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7009B0F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D494BE4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FF14192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30.0/27.3/18.6/5.9</w:t>
            </w:r>
          </w:p>
        </w:tc>
        <w:tc>
          <w:tcPr>
            <w:tcW w:w="1843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56D4C6A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30.4/26.5/15.6/3.0</w:t>
            </w:r>
          </w:p>
        </w:tc>
        <w:tc>
          <w:tcPr>
            <w:tcW w:w="1935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D195832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24.6/21.2/14.6/4.6</w:t>
            </w:r>
          </w:p>
        </w:tc>
      </w:tr>
      <w:tr w14:paraId="6FE4B0C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852" w:type="dxa"/>
            <w:vMerge w:val="restart"/>
            <w:tcBorders>
              <w:top w:val="single" w:color="auto" w:sz="8" w:space="0"/>
              <w:left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FCECBF8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DTP-ν-DABNA</w:t>
            </w:r>
          </w:p>
        </w:tc>
        <w:tc>
          <w:tcPr>
            <w:tcW w:w="992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B73DCEF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6EF9E01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50.0/44.7/34.8/16.2</w:t>
            </w:r>
          </w:p>
        </w:tc>
        <w:tc>
          <w:tcPr>
            <w:tcW w:w="1843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18D7CC2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50.0/43.2/28.8/9.9</w:t>
            </w:r>
          </w:p>
        </w:tc>
        <w:tc>
          <w:tcPr>
            <w:tcW w:w="1935" w:type="dxa"/>
            <w:tcBorders>
              <w:top w:val="single" w:color="auto" w:sz="8" w:space="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BF7E3A2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31.5/27.0/20.9/9.1</w:t>
            </w:r>
          </w:p>
        </w:tc>
      </w:tr>
      <w:tr w14:paraId="4622F3A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852" w:type="dxa"/>
            <w:vMerge w:val="continue"/>
            <w:tcBorders>
              <w:left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35F27A6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480E54B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FE94DDB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44.9/44.2/33.7/14.5</w:t>
            </w:r>
          </w:p>
        </w:tc>
        <w:tc>
          <w:tcPr>
            <w:tcW w:w="1843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45C9BB4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43.7/42.9/28.2/8.5</w:t>
            </w:r>
          </w:p>
        </w:tc>
        <w:tc>
          <w:tcPr>
            <w:tcW w:w="1935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FCE3DBB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25.6/25.1/19.1/8.7</w:t>
            </w:r>
          </w:p>
        </w:tc>
      </w:tr>
      <w:tr w14:paraId="3E64F7E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atLeast"/>
          <w:jc w:val="center"/>
        </w:trPr>
        <w:tc>
          <w:tcPr>
            <w:tcW w:w="1852" w:type="dxa"/>
            <w:vMerge w:val="continue"/>
            <w:tcBorders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5E9CA12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4F9F92B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4D8BE49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40.0/34.6/28.6/13.5</w:t>
            </w:r>
          </w:p>
        </w:tc>
        <w:tc>
          <w:tcPr>
            <w:tcW w:w="1843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A08E44A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40.8/33.8/24.1/8.0</w:t>
            </w:r>
          </w:p>
        </w:tc>
        <w:tc>
          <w:tcPr>
            <w:tcW w:w="1935" w:type="dxa"/>
            <w:tcBorders>
              <w:top w:val="nil"/>
              <w:left w:val="nil"/>
              <w:bottom w:val="single" w:color="auto" w:sz="8" w:space="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22AC8C6">
            <w:pPr>
              <w:shd w:val="clear" w:color="auto" w:fill="FFFFFF"/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22.7/18.8/15.4/7.4</w:t>
            </w:r>
          </w:p>
        </w:tc>
      </w:tr>
    </w:tbl>
    <w:p w14:paraId="4286ED3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>
        <w:rPr>
          <w:rFonts w:ascii="Times New Roman" w:hAnsi="Times New Roman" w:cs="Times New Roman"/>
          <w:sz w:val="24"/>
          <w:szCs w:val="24"/>
        </w:rPr>
        <w:t>Values of current efficiency (CE), power efficiency (PE), and external quantum efficiency (EQE) at the maximum, 10/100/1000 cd m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-2</w:t>
      </w:r>
    </w:p>
    <w:p w14:paraId="7F82CD37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</w:p>
    <w:p w14:paraId="7A2D09A7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5" w:name="_Hlk168336523"/>
      <w:r>
        <w:rPr>
          <w:rFonts w:ascii="Times New Roman" w:hAnsi="Times New Roman" w:cs="Times New Roman"/>
          <w:b/>
          <w:bCs/>
          <w:sz w:val="24"/>
          <w:szCs w:val="24"/>
        </w:rPr>
        <w:t xml:space="preserve">Table </w:t>
      </w:r>
      <w:bookmarkEnd w:id="4"/>
      <w:r>
        <w:rPr>
          <w:rFonts w:ascii="Times New Roman" w:hAnsi="Times New Roman" w:cs="Times New Roman"/>
          <w:b/>
          <w:bCs/>
          <w:sz w:val="24"/>
          <w:szCs w:val="24"/>
        </w:rPr>
        <w:t>S5</w:t>
      </w:r>
      <w:r>
        <w:rPr>
          <w:rFonts w:ascii="Times New Roman" w:hAnsi="Times New Roman" w:cs="Times New Roman"/>
          <w:sz w:val="24"/>
          <w:szCs w:val="24"/>
        </w:rPr>
        <w:t xml:space="preserve"> Summary of reported diboron blue MR-TADF emitters with high efficiency (EQE</w:t>
      </w:r>
      <w:r>
        <w:rPr>
          <w:rFonts w:ascii="Times New Roman" w:hAnsi="Times New Roman" w:cs="Times New Roman"/>
          <w:sz w:val="24"/>
          <w:szCs w:val="24"/>
          <w:vertAlign w:val="subscript"/>
        </w:rPr>
        <w:t>max</w:t>
      </w:r>
      <w:r>
        <w:rPr>
          <w:rFonts w:ascii="Times New Roman" w:hAnsi="Times New Roman" w:cs="Times New Roman"/>
          <w:sz w:val="24"/>
          <w:szCs w:val="24"/>
        </w:rPr>
        <w:t xml:space="preserve"> &gt; 30%).</w:t>
      </w:r>
    </w:p>
    <w:tbl>
      <w:tblPr>
        <w:tblStyle w:val="9"/>
        <w:tblW w:w="8320" w:type="dxa"/>
        <w:jc w:val="center"/>
        <w:tblBorders>
          <w:top w:val="single" w:color="7E7E7E" w:themeColor="text1" w:themeTint="80" w:sz="4" w:space="0"/>
          <w:left w:val="none" w:color="auto" w:sz="0" w:space="0"/>
          <w:bottom w:val="single" w:color="7E7E7E" w:themeColor="text1" w:themeTint="80" w:sz="4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70" w:type="dxa"/>
          <w:bottom w:w="0" w:type="dxa"/>
          <w:right w:w="170" w:type="dxa"/>
        </w:tblCellMar>
      </w:tblPr>
      <w:tblGrid>
        <w:gridCol w:w="2229"/>
        <w:gridCol w:w="798"/>
        <w:gridCol w:w="1081"/>
        <w:gridCol w:w="1073"/>
        <w:gridCol w:w="1314"/>
        <w:gridCol w:w="2151"/>
      </w:tblGrid>
      <w:tr w14:paraId="4AC38059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398" w:hRule="atLeast"/>
          <w:jc w:val="center"/>
        </w:trPr>
        <w:tc>
          <w:tcPr>
            <w:tcW w:w="1454" w:type="dxa"/>
            <w:tcBorders>
              <w:top w:val="single" w:color="auto" w:sz="6" w:space="0"/>
              <w:bottom w:val="single" w:color="auto" w:sz="6" w:space="0"/>
            </w:tcBorders>
            <w:vAlign w:val="center"/>
          </w:tcPr>
          <w:p w14:paraId="2CD844E7">
            <w:pPr>
              <w:spacing w:after="0" w:line="360" w:lineRule="auto"/>
              <w:jc w:val="both"/>
              <w:rPr>
                <w:rFonts w:ascii="Times New Roman" w:hAnsi="Times New Roman" w:eastAsia="MS Mincho" w:cs="Times New Roman"/>
                <w:b/>
                <w:bCs/>
                <w:kern w:val="2"/>
                <w:sz w:val="24"/>
                <w:szCs w:val="24"/>
                <w:lang w:eastAsia="ja-JP"/>
                <w14:ligatures w14:val="standardContextual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kern w:val="2"/>
                <w:sz w:val="24"/>
                <w:szCs w:val="24"/>
                <w:lang w:eastAsia="ja-JP"/>
                <w14:ligatures w14:val="standardContextual"/>
              </w:rPr>
              <w:t>E</w:t>
            </w:r>
            <w:r>
              <w:rPr>
                <w:rFonts w:ascii="Times New Roman" w:hAnsi="Times New Roman" w:eastAsia="宋体" w:cs="Times New Roman"/>
                <w:b/>
                <w:bCs/>
                <w:kern w:val="2"/>
                <w:sz w:val="24"/>
                <w:szCs w:val="24"/>
                <w14:ligatures w14:val="standardContextual"/>
              </w:rPr>
              <w:t>mitters</w:t>
            </w:r>
          </w:p>
        </w:tc>
        <w:tc>
          <w:tcPr>
            <w:tcW w:w="772" w:type="dxa"/>
            <w:tcBorders>
              <w:top w:val="single" w:color="auto" w:sz="6" w:space="0"/>
              <w:bottom w:val="single" w:color="auto" w:sz="6" w:space="0"/>
            </w:tcBorders>
            <w:vAlign w:val="center"/>
          </w:tcPr>
          <w:p w14:paraId="7FD827B5">
            <w:pPr>
              <w:spacing w:after="0" w:line="360" w:lineRule="auto"/>
              <w:jc w:val="both"/>
              <w:rPr>
                <w:rFonts w:ascii="Times New Roman" w:hAnsi="Times New Roman" w:eastAsia="等线" w:cs="Times New Roman"/>
                <w:b/>
                <w:bCs/>
                <w:iCs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等线" w:cs="Times New Roman"/>
                <w:b/>
                <w:bCs/>
                <w:iCs/>
                <w:kern w:val="2"/>
                <w:sz w:val="24"/>
                <w:szCs w:val="24"/>
                <w14:ligatures w14:val="standardContextual"/>
              </w:rPr>
              <w:t>λ</w:t>
            </w:r>
            <w:r>
              <w:rPr>
                <w:rFonts w:ascii="Times New Roman" w:hAnsi="Times New Roman" w:eastAsia="等线" w:cs="Times New Roman"/>
                <w:b/>
                <w:bCs/>
                <w:iCs/>
                <w:kern w:val="2"/>
                <w:sz w:val="24"/>
                <w:szCs w:val="24"/>
                <w:vertAlign w:val="subscript"/>
                <w14:ligatures w14:val="standardContextual"/>
              </w:rPr>
              <w:t>EL</w:t>
            </w:r>
            <w:r>
              <w:rPr>
                <w:rFonts w:ascii="Times New Roman" w:hAnsi="Times New Roman" w:eastAsia="等线" w:cs="Times New Roman"/>
                <w:b w:val="0"/>
                <w:bCs w:val="0"/>
                <w:iCs/>
                <w:kern w:val="2"/>
                <w:sz w:val="24"/>
                <w:szCs w:val="24"/>
                <w14:ligatures w14:val="standardContextual"/>
              </w:rPr>
              <w:t xml:space="preserve"> </w:t>
            </w:r>
          </w:p>
          <w:p w14:paraId="22784A22">
            <w:pPr>
              <w:spacing w:after="0" w:line="360" w:lineRule="auto"/>
              <w:jc w:val="both"/>
              <w:rPr>
                <w:rFonts w:ascii="Times New Roman" w:hAnsi="Times New Roman" w:eastAsia="等线" w:cs="Times New Roman"/>
                <w:b w:val="0"/>
                <w:bCs w:val="0"/>
                <w:iCs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等线" w:cs="Times New Roman"/>
                <w:b/>
                <w:bCs/>
                <w:iCs/>
                <w:kern w:val="2"/>
                <w:sz w:val="24"/>
                <w:szCs w:val="24"/>
                <w14:ligatures w14:val="standardContextual"/>
              </w:rPr>
              <w:t>(nm)</w:t>
            </w:r>
          </w:p>
        </w:tc>
        <w:tc>
          <w:tcPr>
            <w:tcW w:w="1040" w:type="dxa"/>
            <w:tcBorders>
              <w:top w:val="single" w:color="auto" w:sz="6" w:space="0"/>
              <w:bottom w:val="single" w:color="auto" w:sz="6" w:space="0"/>
            </w:tcBorders>
            <w:vAlign w:val="center"/>
          </w:tcPr>
          <w:p w14:paraId="7BC0CC18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/>
                <w:bCs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kern w:val="2"/>
                <w:sz w:val="24"/>
                <w:szCs w:val="24"/>
                <w:lang w:eastAsia="ja-JP"/>
                <w14:ligatures w14:val="standardContextual"/>
              </w:rPr>
              <w:t>FWHM</w:t>
            </w:r>
            <w:r>
              <w:rPr>
                <w:rFonts w:ascii="Times New Roman" w:hAnsi="Times New Roman" w:eastAsia="宋体" w:cs="Times New Roman"/>
                <w:b/>
                <w:bCs/>
                <w:kern w:val="2"/>
                <w:sz w:val="24"/>
                <w:szCs w:val="24"/>
                <w14:ligatures w14:val="standardContextual"/>
              </w:rPr>
              <w:t xml:space="preserve"> (</w:t>
            </w:r>
            <w:r>
              <w:rPr>
                <w:rFonts w:ascii="Times New Roman" w:hAnsi="Times New Roman" w:eastAsia="MS Mincho" w:cs="Times New Roman"/>
                <w:b/>
                <w:bCs/>
                <w:kern w:val="2"/>
                <w:sz w:val="24"/>
                <w:szCs w:val="24"/>
                <w:lang w:eastAsia="ja-JP"/>
                <w14:ligatures w14:val="standardContextual"/>
              </w:rPr>
              <w:t>nm</w:t>
            </w:r>
            <w:r>
              <w:rPr>
                <w:rFonts w:ascii="Times New Roman" w:hAnsi="Times New Roman" w:eastAsia="宋体" w:cs="Times New Roman"/>
                <w:b/>
                <w:bCs/>
                <w:kern w:val="2"/>
                <w:sz w:val="24"/>
                <w:szCs w:val="24"/>
                <w14:ligatures w14:val="standardContextual"/>
              </w:rPr>
              <w:t>)</w:t>
            </w:r>
          </w:p>
        </w:tc>
        <w:tc>
          <w:tcPr>
            <w:tcW w:w="1041" w:type="dxa"/>
            <w:tcBorders>
              <w:top w:val="single" w:color="auto" w:sz="6" w:space="0"/>
              <w:bottom w:val="single" w:color="auto" w:sz="6" w:space="0"/>
            </w:tcBorders>
            <w:vAlign w:val="center"/>
          </w:tcPr>
          <w:p w14:paraId="2E62BB71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/>
                <w:bCs/>
                <w:kern w:val="2"/>
                <w:sz w:val="24"/>
                <w:szCs w:val="24"/>
                <w:vertAlign w:val="subscript"/>
                <w14:ligatures w14:val="standardContextual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kern w:val="2"/>
                <w:sz w:val="24"/>
                <w:szCs w:val="24"/>
                <w:lang w:eastAsia="ja-JP"/>
                <w14:ligatures w14:val="standardContextual"/>
              </w:rPr>
              <w:t>EQE</w:t>
            </w:r>
            <w:r>
              <w:rPr>
                <w:rFonts w:ascii="Times New Roman" w:hAnsi="Times New Roman" w:eastAsia="宋体" w:cs="Times New Roman"/>
                <w:b/>
                <w:bCs/>
                <w:kern w:val="2"/>
                <w:sz w:val="24"/>
                <w:szCs w:val="24"/>
                <w:vertAlign w:val="subscript"/>
                <w14:ligatures w14:val="standardContextual"/>
              </w:rPr>
              <w:t>max</w:t>
            </w:r>
            <w:r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:vertAlign w:val="subscript"/>
                <w14:ligatures w14:val="standardContextual"/>
              </w:rPr>
              <w:t xml:space="preserve"> </w:t>
            </w:r>
          </w:p>
          <w:p w14:paraId="1CBDA828">
            <w:pPr>
              <w:spacing w:after="0" w:line="360" w:lineRule="auto"/>
              <w:jc w:val="both"/>
              <w:rPr>
                <w:rFonts w:ascii="Times New Roman" w:hAnsi="Times New Roman" w:eastAsia="MS Mincho" w:cs="Times New Roman"/>
                <w:b w:val="0"/>
                <w:bCs w:val="0"/>
                <w:kern w:val="2"/>
                <w:sz w:val="24"/>
                <w:szCs w:val="24"/>
                <w:vertAlign w:val="subscript"/>
                <w:lang w:eastAsia="ja-JP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/>
                <w:bCs/>
                <w:kern w:val="2"/>
                <w:sz w:val="24"/>
                <w:szCs w:val="24"/>
                <w14:ligatures w14:val="standardContextual"/>
              </w:rPr>
              <w:t>(%)</w:t>
            </w:r>
          </w:p>
        </w:tc>
        <w:tc>
          <w:tcPr>
            <w:tcW w:w="1370" w:type="dxa"/>
            <w:tcBorders>
              <w:top w:val="single" w:color="auto" w:sz="6" w:space="0"/>
              <w:bottom w:val="single" w:color="auto" w:sz="6" w:space="0"/>
            </w:tcBorders>
            <w:vAlign w:val="center"/>
          </w:tcPr>
          <w:p w14:paraId="32E8D2A9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kern w:val="2"/>
                <w:sz w:val="24"/>
                <w:szCs w:val="24"/>
                <w:lang w:eastAsia="ja-JP"/>
                <w14:ligatures w14:val="standardContextual"/>
              </w:rPr>
              <w:t xml:space="preserve">CIE </w:t>
            </w:r>
          </w:p>
          <w:p w14:paraId="28E665DA">
            <w:pPr>
              <w:spacing w:after="0" w:line="360" w:lineRule="auto"/>
              <w:jc w:val="both"/>
              <w:rPr>
                <w:rFonts w:ascii="Times New Roman" w:hAnsi="Times New Roman" w:eastAsia="MS Mincho" w:cs="Times New Roman"/>
                <w:b/>
                <w:bCs/>
                <w:kern w:val="2"/>
                <w:sz w:val="24"/>
                <w:szCs w:val="24"/>
                <w:lang w:eastAsia="ja-JP"/>
                <w14:ligatures w14:val="standardContextual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kern w:val="2"/>
                <w:sz w:val="24"/>
                <w:szCs w:val="24"/>
                <w:lang w:eastAsia="ja-JP"/>
                <w14:ligatures w14:val="standardContextual"/>
              </w:rPr>
              <w:t>(x, y)</w:t>
            </w:r>
          </w:p>
        </w:tc>
        <w:tc>
          <w:tcPr>
            <w:tcW w:w="2643" w:type="dxa"/>
            <w:tcBorders>
              <w:top w:val="single" w:color="auto" w:sz="6" w:space="0"/>
              <w:bottom w:val="single" w:color="auto" w:sz="6" w:space="0"/>
            </w:tcBorders>
            <w:vAlign w:val="center"/>
          </w:tcPr>
          <w:p w14:paraId="29DE2879">
            <w:pPr>
              <w:spacing w:after="0" w:line="360" w:lineRule="auto"/>
              <w:jc w:val="both"/>
              <w:rPr>
                <w:rFonts w:ascii="Times New Roman" w:hAnsi="Times New Roman" w:eastAsia="MS Mincho" w:cs="Times New Roman"/>
                <w:b/>
                <w:bCs/>
                <w:kern w:val="2"/>
                <w:sz w:val="24"/>
                <w:szCs w:val="24"/>
                <w:lang w:eastAsia="ja-JP"/>
                <w14:ligatures w14:val="standardContextual"/>
              </w:rPr>
            </w:pPr>
            <w:r>
              <w:rPr>
                <w:rFonts w:ascii="Times New Roman" w:hAnsi="Times New Roman" w:eastAsia="MS Mincho" w:cs="Times New Roman"/>
                <w:b/>
                <w:bCs/>
                <w:kern w:val="2"/>
                <w:sz w:val="24"/>
                <w:szCs w:val="24"/>
                <w:lang w:eastAsia="ja-JP"/>
                <w14:ligatures w14:val="standardContextual"/>
              </w:rPr>
              <w:t>Ref.</w:t>
            </w:r>
          </w:p>
        </w:tc>
      </w:tr>
      <w:tr w14:paraId="66D4DEAD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single" w:color="auto" w:sz="6" w:space="0"/>
              <w:bottom w:val="nil"/>
            </w:tcBorders>
            <w:vAlign w:val="center"/>
          </w:tcPr>
          <w:p w14:paraId="491FC0BB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color w:val="FF000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FF0000"/>
                <w:kern w:val="2"/>
                <w:sz w:val="24"/>
                <w:szCs w:val="24"/>
                <w14:ligatures w14:val="standardContextual"/>
              </w:rPr>
              <w:t>DTPF-ν-DABNA</w:t>
            </w:r>
          </w:p>
        </w:tc>
        <w:tc>
          <w:tcPr>
            <w:tcW w:w="772" w:type="dxa"/>
            <w:tcBorders>
              <w:top w:val="single" w:color="auto" w:sz="6" w:space="0"/>
              <w:bottom w:val="nil"/>
            </w:tcBorders>
            <w:vAlign w:val="center"/>
          </w:tcPr>
          <w:p w14:paraId="62319D13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  <w:t>480</w:t>
            </w:r>
          </w:p>
        </w:tc>
        <w:tc>
          <w:tcPr>
            <w:tcW w:w="1040" w:type="dxa"/>
            <w:tcBorders>
              <w:top w:val="single" w:color="auto" w:sz="6" w:space="0"/>
              <w:bottom w:val="nil"/>
            </w:tcBorders>
            <w:vAlign w:val="center"/>
          </w:tcPr>
          <w:p w14:paraId="2463C542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  <w:t>21</w:t>
            </w:r>
          </w:p>
        </w:tc>
        <w:tc>
          <w:tcPr>
            <w:tcW w:w="1041" w:type="dxa"/>
            <w:tcBorders>
              <w:top w:val="single" w:color="auto" w:sz="6" w:space="0"/>
              <w:bottom w:val="nil"/>
            </w:tcBorders>
            <w:vAlign w:val="center"/>
          </w:tcPr>
          <w:p w14:paraId="22934946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  <w:t>36.0</w:t>
            </w:r>
          </w:p>
        </w:tc>
        <w:tc>
          <w:tcPr>
            <w:tcW w:w="1370" w:type="dxa"/>
            <w:tcBorders>
              <w:top w:val="single" w:color="auto" w:sz="6" w:space="0"/>
              <w:bottom w:val="nil"/>
            </w:tcBorders>
            <w:vAlign w:val="center"/>
          </w:tcPr>
          <w:p w14:paraId="076EC32C">
            <w:pPr>
              <w:spacing w:after="0" w:line="360" w:lineRule="auto"/>
              <w:jc w:val="both"/>
              <w:rPr>
                <w:rFonts w:ascii="Times New Roman" w:hAnsi="Times New Roman" w:eastAsia="MS Mincho" w:cs="Times New Roman"/>
                <w:color w:val="FF0000"/>
                <w:kern w:val="2"/>
                <w:sz w:val="24"/>
                <w:szCs w:val="24"/>
                <w:lang w:eastAsia="ja-JP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  <w:t>(0.09, 0.22)</w:t>
            </w:r>
          </w:p>
        </w:tc>
        <w:tc>
          <w:tcPr>
            <w:tcW w:w="2643" w:type="dxa"/>
            <w:vMerge w:val="restart"/>
            <w:tcBorders>
              <w:top w:val="single" w:color="auto" w:sz="6" w:space="0"/>
              <w:bottom w:val="single" w:color="7E7E7E" w:themeColor="text1" w:themeTint="80" w:sz="4" w:space="0"/>
            </w:tcBorders>
            <w:vAlign w:val="center"/>
          </w:tcPr>
          <w:p w14:paraId="3F422010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  <w:t>This work</w:t>
            </w:r>
          </w:p>
        </w:tc>
      </w:tr>
      <w:tr w14:paraId="3D1F471B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nil"/>
              <w:bottom w:val="nil"/>
            </w:tcBorders>
            <w:vAlign w:val="center"/>
          </w:tcPr>
          <w:p w14:paraId="0F6F7D06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color w:val="FF000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color w:val="FF0000"/>
                <w:kern w:val="2"/>
                <w:sz w:val="24"/>
                <w:szCs w:val="24"/>
                <w14:ligatures w14:val="standardContextual"/>
              </w:rPr>
              <w:t>DTP-ν-DABNA</w:t>
            </w:r>
          </w:p>
        </w:tc>
        <w:tc>
          <w:tcPr>
            <w:tcW w:w="772" w:type="dxa"/>
            <w:tcBorders>
              <w:top w:val="nil"/>
              <w:bottom w:val="nil"/>
            </w:tcBorders>
            <w:vAlign w:val="center"/>
          </w:tcPr>
          <w:p w14:paraId="431C116B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  <w:t>492</w:t>
            </w:r>
          </w:p>
        </w:tc>
        <w:tc>
          <w:tcPr>
            <w:tcW w:w="1040" w:type="dxa"/>
            <w:tcBorders>
              <w:top w:val="nil"/>
              <w:bottom w:val="nil"/>
            </w:tcBorders>
            <w:vAlign w:val="center"/>
          </w:tcPr>
          <w:p w14:paraId="26D4FF3A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  <w:t>22</w:t>
            </w:r>
          </w:p>
        </w:tc>
        <w:tc>
          <w:tcPr>
            <w:tcW w:w="1041" w:type="dxa"/>
            <w:tcBorders>
              <w:top w:val="nil"/>
              <w:bottom w:val="nil"/>
            </w:tcBorders>
            <w:vAlign w:val="center"/>
          </w:tcPr>
          <w:p w14:paraId="5450273D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  <w:t>31.5</w:t>
            </w:r>
          </w:p>
        </w:tc>
        <w:tc>
          <w:tcPr>
            <w:tcW w:w="1370" w:type="dxa"/>
            <w:tcBorders>
              <w:top w:val="nil"/>
              <w:bottom w:val="nil"/>
            </w:tcBorders>
            <w:vAlign w:val="center"/>
          </w:tcPr>
          <w:p w14:paraId="21FE40D4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color w:val="FF0000"/>
                <w:kern w:val="2"/>
                <w:sz w:val="24"/>
                <w:szCs w:val="24"/>
                <w14:ligatures w14:val="standardContextual"/>
              </w:rPr>
              <w:t>(0.07, 0.38)</w:t>
            </w:r>
          </w:p>
        </w:tc>
        <w:tc>
          <w:tcPr>
            <w:tcW w:w="2643" w:type="dxa"/>
            <w:vMerge w:val="continue"/>
            <w:tcBorders>
              <w:bottom w:val="nil"/>
            </w:tcBorders>
            <w:vAlign w:val="center"/>
          </w:tcPr>
          <w:p w14:paraId="3209CD8C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</w:p>
        </w:tc>
      </w:tr>
      <w:tr w14:paraId="4785806E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nil"/>
              <w:bottom w:val="nil"/>
            </w:tcBorders>
            <w:vAlign w:val="center"/>
          </w:tcPr>
          <w:p w14:paraId="73F7A914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  <w:t>CFDBCz</w:t>
            </w:r>
          </w:p>
        </w:tc>
        <w:tc>
          <w:tcPr>
            <w:tcW w:w="772" w:type="dxa"/>
            <w:tcBorders>
              <w:top w:val="nil"/>
              <w:bottom w:val="nil"/>
            </w:tcBorders>
            <w:vAlign w:val="center"/>
          </w:tcPr>
          <w:p w14:paraId="7F1E4F09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488</w:t>
            </w:r>
          </w:p>
        </w:tc>
        <w:tc>
          <w:tcPr>
            <w:tcW w:w="1040" w:type="dxa"/>
            <w:tcBorders>
              <w:top w:val="nil"/>
              <w:bottom w:val="nil"/>
            </w:tcBorders>
            <w:vAlign w:val="center"/>
          </w:tcPr>
          <w:p w14:paraId="48CB0654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22</w:t>
            </w:r>
          </w:p>
        </w:tc>
        <w:tc>
          <w:tcPr>
            <w:tcW w:w="1041" w:type="dxa"/>
            <w:tcBorders>
              <w:top w:val="nil"/>
              <w:bottom w:val="nil"/>
            </w:tcBorders>
            <w:vAlign w:val="center"/>
          </w:tcPr>
          <w:p w14:paraId="2FBE9A4F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32.4</w:t>
            </w:r>
          </w:p>
        </w:tc>
        <w:tc>
          <w:tcPr>
            <w:tcW w:w="1370" w:type="dxa"/>
            <w:tcBorders>
              <w:top w:val="nil"/>
              <w:bottom w:val="nil"/>
            </w:tcBorders>
            <w:vAlign w:val="center"/>
          </w:tcPr>
          <w:p w14:paraId="3E32A1B7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(0.12, 0.43)</w:t>
            </w:r>
          </w:p>
        </w:tc>
        <w:tc>
          <w:tcPr>
            <w:tcW w:w="2643" w:type="dxa"/>
            <w:tcBorders>
              <w:top w:val="nil"/>
              <w:bottom w:val="nil"/>
            </w:tcBorders>
            <w:vAlign w:val="center"/>
          </w:tcPr>
          <w:p w14:paraId="3772BB3A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Adv. Opt. Mater. 2024, 12(15):2302987.</w:t>
            </w:r>
          </w:p>
        </w:tc>
      </w:tr>
      <w:tr w14:paraId="3055EFD5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nil"/>
              <w:bottom w:val="nil"/>
            </w:tcBorders>
            <w:vAlign w:val="center"/>
          </w:tcPr>
          <w:p w14:paraId="679CC610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  <w:t>ν-DABNA</w:t>
            </w:r>
          </w:p>
        </w:tc>
        <w:tc>
          <w:tcPr>
            <w:tcW w:w="772" w:type="dxa"/>
            <w:tcBorders>
              <w:top w:val="nil"/>
              <w:bottom w:val="nil"/>
            </w:tcBorders>
            <w:vAlign w:val="center"/>
          </w:tcPr>
          <w:p w14:paraId="0467464F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469</w:t>
            </w:r>
          </w:p>
        </w:tc>
        <w:tc>
          <w:tcPr>
            <w:tcW w:w="1040" w:type="dxa"/>
            <w:tcBorders>
              <w:top w:val="nil"/>
              <w:bottom w:val="nil"/>
            </w:tcBorders>
            <w:vAlign w:val="center"/>
          </w:tcPr>
          <w:p w14:paraId="0900E6CC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18</w:t>
            </w:r>
          </w:p>
        </w:tc>
        <w:tc>
          <w:tcPr>
            <w:tcW w:w="1041" w:type="dxa"/>
            <w:tcBorders>
              <w:top w:val="nil"/>
              <w:bottom w:val="nil"/>
            </w:tcBorders>
            <w:vAlign w:val="center"/>
          </w:tcPr>
          <w:p w14:paraId="02A2C607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34.4</w:t>
            </w:r>
          </w:p>
        </w:tc>
        <w:tc>
          <w:tcPr>
            <w:tcW w:w="1370" w:type="dxa"/>
            <w:tcBorders>
              <w:top w:val="nil"/>
              <w:bottom w:val="nil"/>
            </w:tcBorders>
            <w:vAlign w:val="center"/>
          </w:tcPr>
          <w:p w14:paraId="3993AA93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(0.12, 0.11)</w:t>
            </w:r>
          </w:p>
        </w:tc>
        <w:tc>
          <w:tcPr>
            <w:tcW w:w="2643" w:type="dxa"/>
            <w:tcBorders>
              <w:top w:val="nil"/>
              <w:bottom w:val="nil"/>
            </w:tcBorders>
            <w:vAlign w:val="center"/>
          </w:tcPr>
          <w:p w14:paraId="71038D70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Nat. Photon. 2019, 13(10):678-682.</w:t>
            </w:r>
          </w:p>
        </w:tc>
      </w:tr>
      <w:tr w14:paraId="27D1FDA5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nil"/>
              <w:bottom w:val="nil"/>
            </w:tcBorders>
            <w:vAlign w:val="center"/>
          </w:tcPr>
          <w:p w14:paraId="6BDE98AA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  <w:t>NO-DBMR</w:t>
            </w:r>
          </w:p>
        </w:tc>
        <w:tc>
          <w:tcPr>
            <w:tcW w:w="772" w:type="dxa"/>
            <w:tcBorders>
              <w:top w:val="nil"/>
              <w:bottom w:val="nil"/>
            </w:tcBorders>
            <w:vAlign w:val="center"/>
          </w:tcPr>
          <w:p w14:paraId="5593AD3D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469</w:t>
            </w:r>
          </w:p>
        </w:tc>
        <w:tc>
          <w:tcPr>
            <w:tcW w:w="1040" w:type="dxa"/>
            <w:tcBorders>
              <w:top w:val="nil"/>
              <w:bottom w:val="nil"/>
            </w:tcBorders>
            <w:vAlign w:val="center"/>
          </w:tcPr>
          <w:p w14:paraId="1D69E430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26</w:t>
            </w:r>
          </w:p>
        </w:tc>
        <w:tc>
          <w:tcPr>
            <w:tcW w:w="1041" w:type="dxa"/>
            <w:tcBorders>
              <w:top w:val="nil"/>
              <w:bottom w:val="nil"/>
            </w:tcBorders>
            <w:vAlign w:val="center"/>
          </w:tcPr>
          <w:p w14:paraId="0263D5EA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33.7%</w:t>
            </w:r>
          </w:p>
        </w:tc>
        <w:tc>
          <w:tcPr>
            <w:tcW w:w="1370" w:type="dxa"/>
            <w:tcBorders>
              <w:top w:val="nil"/>
              <w:bottom w:val="nil"/>
            </w:tcBorders>
            <w:vAlign w:val="center"/>
          </w:tcPr>
          <w:p w14:paraId="4B1228A1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(0.12, 0.12)</w:t>
            </w:r>
          </w:p>
        </w:tc>
        <w:tc>
          <w:tcPr>
            <w:tcW w:w="2643" w:type="dxa"/>
            <w:tcBorders>
              <w:top w:val="nil"/>
              <w:bottom w:val="nil"/>
            </w:tcBorders>
            <w:vAlign w:val="center"/>
          </w:tcPr>
          <w:p w14:paraId="12AD924B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:lang w:val="de-DE"/>
                <w14:ligatures w14:val="standardContextual"/>
              </w:rPr>
            </w:pPr>
            <w:r>
              <w:rPr>
                <w:rFonts w:hint="eastAsia" w:ascii="Times New Roman" w:hAnsi="Times New Roman" w:eastAsia="宋体" w:cs="Times New Roman"/>
                <w:iCs/>
                <w:kern w:val="2"/>
                <w:sz w:val="24"/>
                <w:szCs w:val="24"/>
                <w:lang w:val="de-DE"/>
                <w14:ligatures w14:val="standardContextual"/>
              </w:rPr>
              <w:t>Angewandte Chemie International Edition</w:t>
            </w: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:lang w:val="de-DE"/>
                <w14:ligatures w14:val="standardContextual"/>
              </w:rPr>
              <w:t>. 2023, 62(32):e202306768.</w:t>
            </w:r>
          </w:p>
        </w:tc>
      </w:tr>
      <w:tr w14:paraId="576C2D95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nil"/>
              <w:bottom w:val="nil"/>
            </w:tcBorders>
            <w:vAlign w:val="center"/>
          </w:tcPr>
          <w:p w14:paraId="3DFC77D6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  <w:t>Π-CzBN</w:t>
            </w:r>
          </w:p>
        </w:tc>
        <w:tc>
          <w:tcPr>
            <w:tcW w:w="772" w:type="dxa"/>
            <w:tcBorders>
              <w:top w:val="nil"/>
              <w:bottom w:val="nil"/>
            </w:tcBorders>
            <w:vAlign w:val="center"/>
          </w:tcPr>
          <w:p w14:paraId="198E1EDE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494</w:t>
            </w:r>
          </w:p>
        </w:tc>
        <w:tc>
          <w:tcPr>
            <w:tcW w:w="1040" w:type="dxa"/>
            <w:tcBorders>
              <w:top w:val="nil"/>
              <w:bottom w:val="nil"/>
            </w:tcBorders>
            <w:vAlign w:val="center"/>
          </w:tcPr>
          <w:p w14:paraId="7C42E11E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21</w:t>
            </w:r>
          </w:p>
        </w:tc>
        <w:tc>
          <w:tcPr>
            <w:tcW w:w="1041" w:type="dxa"/>
            <w:tcBorders>
              <w:top w:val="nil"/>
              <w:bottom w:val="nil"/>
            </w:tcBorders>
            <w:vAlign w:val="center"/>
          </w:tcPr>
          <w:p w14:paraId="2CC33E20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37.4</w:t>
            </w:r>
          </w:p>
        </w:tc>
        <w:tc>
          <w:tcPr>
            <w:tcW w:w="1370" w:type="dxa"/>
            <w:tcBorders>
              <w:top w:val="nil"/>
              <w:bottom w:val="nil"/>
            </w:tcBorders>
            <w:vAlign w:val="center"/>
          </w:tcPr>
          <w:p w14:paraId="59331FA0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(0.08, 0.45)</w:t>
            </w:r>
          </w:p>
        </w:tc>
        <w:tc>
          <w:tcPr>
            <w:tcW w:w="2643" w:type="dxa"/>
            <w:tcBorders>
              <w:top w:val="nil"/>
              <w:bottom w:val="nil"/>
            </w:tcBorders>
            <w:vAlign w:val="center"/>
          </w:tcPr>
          <w:p w14:paraId="19511A57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:lang w:val="de-DE"/>
                <w14:ligatures w14:val="standardContextual"/>
              </w:rPr>
            </w:pPr>
            <w:r>
              <w:rPr>
                <w:rFonts w:hint="eastAsia" w:ascii="Times New Roman" w:hAnsi="Times New Roman" w:eastAsia="宋体" w:cs="Times New Roman"/>
                <w:iCs/>
                <w:kern w:val="2"/>
                <w:sz w:val="24"/>
                <w:szCs w:val="24"/>
                <w:lang w:val="de-DE"/>
                <w14:ligatures w14:val="standardContextual"/>
              </w:rPr>
              <w:t>Angewandte Chemie International Edition</w:t>
            </w: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:lang w:val="de-DE"/>
                <w14:ligatures w14:val="standardContextual"/>
              </w:rPr>
              <w:t>. 2023, 62(32):e202306413.</w:t>
            </w:r>
          </w:p>
        </w:tc>
      </w:tr>
      <w:tr w14:paraId="793EDA08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nil"/>
              <w:bottom w:val="nil"/>
            </w:tcBorders>
            <w:vAlign w:val="center"/>
          </w:tcPr>
          <w:p w14:paraId="6C1D8CE3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  <w:t>DTBA-B2N3</w:t>
            </w:r>
          </w:p>
        </w:tc>
        <w:tc>
          <w:tcPr>
            <w:tcW w:w="772" w:type="dxa"/>
            <w:tcBorders>
              <w:top w:val="nil"/>
              <w:bottom w:val="nil"/>
            </w:tcBorders>
            <w:vAlign w:val="center"/>
          </w:tcPr>
          <w:p w14:paraId="44B2BF8D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475</w:t>
            </w:r>
          </w:p>
        </w:tc>
        <w:tc>
          <w:tcPr>
            <w:tcW w:w="1040" w:type="dxa"/>
            <w:tcBorders>
              <w:top w:val="nil"/>
              <w:bottom w:val="nil"/>
            </w:tcBorders>
            <w:vAlign w:val="center"/>
          </w:tcPr>
          <w:p w14:paraId="186B4B08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28</w:t>
            </w:r>
          </w:p>
        </w:tc>
        <w:tc>
          <w:tcPr>
            <w:tcW w:w="1041" w:type="dxa"/>
            <w:tcBorders>
              <w:top w:val="nil"/>
              <w:bottom w:val="nil"/>
            </w:tcBorders>
            <w:vAlign w:val="center"/>
          </w:tcPr>
          <w:p w14:paraId="672A3E55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30.9</w:t>
            </w:r>
          </w:p>
        </w:tc>
        <w:tc>
          <w:tcPr>
            <w:tcW w:w="1370" w:type="dxa"/>
            <w:tcBorders>
              <w:top w:val="nil"/>
              <w:bottom w:val="nil"/>
            </w:tcBorders>
            <w:vAlign w:val="center"/>
          </w:tcPr>
          <w:p w14:paraId="5AA62735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(0.11,0.18)</w:t>
            </w:r>
          </w:p>
        </w:tc>
        <w:tc>
          <w:tcPr>
            <w:tcW w:w="2643" w:type="dxa"/>
            <w:tcBorders>
              <w:top w:val="nil"/>
              <w:bottom w:val="nil"/>
            </w:tcBorders>
            <w:vAlign w:val="center"/>
          </w:tcPr>
          <w:p w14:paraId="333AFE69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Nat. Photon. 2023, 17(3):280-285.</w:t>
            </w:r>
          </w:p>
        </w:tc>
      </w:tr>
      <w:tr w14:paraId="73044471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nil"/>
              <w:bottom w:val="nil"/>
            </w:tcBorders>
            <w:vAlign w:val="center"/>
          </w:tcPr>
          <w:p w14:paraId="7B3F6794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i/>
                <w:iCs/>
                <w:kern w:val="2"/>
                <w:sz w:val="24"/>
                <w:szCs w:val="24"/>
                <w14:ligatures w14:val="standardContextual"/>
              </w:rPr>
              <w:t>o</w:t>
            </w:r>
            <w:r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  <w:t>-Tol-ν-DABNA-Me</w:t>
            </w:r>
          </w:p>
        </w:tc>
        <w:tc>
          <w:tcPr>
            <w:tcW w:w="772" w:type="dxa"/>
            <w:tcBorders>
              <w:top w:val="nil"/>
              <w:bottom w:val="nil"/>
            </w:tcBorders>
            <w:vAlign w:val="center"/>
          </w:tcPr>
          <w:p w14:paraId="4A759093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472</w:t>
            </w:r>
          </w:p>
        </w:tc>
        <w:tc>
          <w:tcPr>
            <w:tcW w:w="1040" w:type="dxa"/>
            <w:tcBorders>
              <w:top w:val="nil"/>
              <w:bottom w:val="nil"/>
            </w:tcBorders>
            <w:vAlign w:val="center"/>
          </w:tcPr>
          <w:p w14:paraId="1B384254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18</w:t>
            </w:r>
          </w:p>
        </w:tc>
        <w:tc>
          <w:tcPr>
            <w:tcW w:w="1041" w:type="dxa"/>
            <w:tcBorders>
              <w:top w:val="nil"/>
              <w:bottom w:val="nil"/>
            </w:tcBorders>
            <w:vAlign w:val="center"/>
          </w:tcPr>
          <w:p w14:paraId="58554BB5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33.1</w:t>
            </w:r>
          </w:p>
        </w:tc>
        <w:tc>
          <w:tcPr>
            <w:tcW w:w="1370" w:type="dxa"/>
            <w:tcBorders>
              <w:top w:val="nil"/>
              <w:bottom w:val="nil"/>
            </w:tcBorders>
            <w:vAlign w:val="center"/>
          </w:tcPr>
          <w:p w14:paraId="5B464BA0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(0.11, 0.12)</w:t>
            </w:r>
          </w:p>
        </w:tc>
        <w:tc>
          <w:tcPr>
            <w:tcW w:w="2643" w:type="dxa"/>
            <w:tcBorders>
              <w:top w:val="nil"/>
              <w:bottom w:val="nil"/>
            </w:tcBorders>
            <w:vAlign w:val="center"/>
          </w:tcPr>
          <w:p w14:paraId="32D0100B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Sci. Adv. 2023, 9(22):eadf1388.</w:t>
            </w:r>
          </w:p>
        </w:tc>
      </w:tr>
      <w:tr w14:paraId="3D9F17A6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nil"/>
              <w:bottom w:val="nil"/>
            </w:tcBorders>
            <w:vAlign w:val="center"/>
          </w:tcPr>
          <w:p w14:paraId="05C2AA13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  <w:t>m-ν-DABNA</w:t>
            </w:r>
          </w:p>
        </w:tc>
        <w:tc>
          <w:tcPr>
            <w:tcW w:w="772" w:type="dxa"/>
            <w:tcBorders>
              <w:top w:val="nil"/>
              <w:bottom w:val="nil"/>
            </w:tcBorders>
            <w:vAlign w:val="center"/>
          </w:tcPr>
          <w:p w14:paraId="18035A85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471</w:t>
            </w:r>
          </w:p>
        </w:tc>
        <w:tc>
          <w:tcPr>
            <w:tcW w:w="1040" w:type="dxa"/>
            <w:tcBorders>
              <w:top w:val="nil"/>
              <w:bottom w:val="nil"/>
            </w:tcBorders>
            <w:vAlign w:val="center"/>
          </w:tcPr>
          <w:p w14:paraId="53B45BF5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18</w:t>
            </w:r>
          </w:p>
        </w:tc>
        <w:tc>
          <w:tcPr>
            <w:tcW w:w="1041" w:type="dxa"/>
            <w:tcBorders>
              <w:top w:val="nil"/>
              <w:bottom w:val="nil"/>
            </w:tcBorders>
            <w:vAlign w:val="center"/>
          </w:tcPr>
          <w:p w14:paraId="4938B652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36.2</w:t>
            </w:r>
          </w:p>
        </w:tc>
        <w:tc>
          <w:tcPr>
            <w:tcW w:w="1370" w:type="dxa"/>
            <w:tcBorders>
              <w:top w:val="nil"/>
              <w:bottom w:val="nil"/>
            </w:tcBorders>
            <w:vAlign w:val="center"/>
          </w:tcPr>
          <w:p w14:paraId="1FB74C58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(0.12, 0.12)</w:t>
            </w:r>
          </w:p>
        </w:tc>
        <w:tc>
          <w:tcPr>
            <w:tcW w:w="2643" w:type="dxa"/>
            <w:vMerge w:val="restart"/>
            <w:tcBorders>
              <w:top w:val="nil"/>
              <w:bottom w:val="single" w:color="7E7E7E" w:themeColor="text1" w:themeTint="80" w:sz="4" w:space="0"/>
            </w:tcBorders>
            <w:vAlign w:val="center"/>
          </w:tcPr>
          <w:p w14:paraId="55F89CAA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Chem. Eng. J. 2022, 432:134381.</w:t>
            </w:r>
          </w:p>
        </w:tc>
      </w:tr>
      <w:tr w14:paraId="65033045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nil"/>
              <w:bottom w:val="nil"/>
            </w:tcBorders>
            <w:vAlign w:val="center"/>
          </w:tcPr>
          <w:p w14:paraId="1B5B18BE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  <w:t>4F-ν-DABNA</w:t>
            </w:r>
          </w:p>
        </w:tc>
        <w:tc>
          <w:tcPr>
            <w:tcW w:w="772" w:type="dxa"/>
            <w:tcBorders>
              <w:top w:val="nil"/>
              <w:bottom w:val="nil"/>
            </w:tcBorders>
            <w:vAlign w:val="center"/>
          </w:tcPr>
          <w:p w14:paraId="10D0F7E9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464</w:t>
            </w:r>
          </w:p>
        </w:tc>
        <w:tc>
          <w:tcPr>
            <w:tcW w:w="1040" w:type="dxa"/>
            <w:tcBorders>
              <w:top w:val="nil"/>
              <w:bottom w:val="nil"/>
            </w:tcBorders>
            <w:vAlign w:val="center"/>
          </w:tcPr>
          <w:p w14:paraId="3BC352AD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18</w:t>
            </w:r>
          </w:p>
        </w:tc>
        <w:tc>
          <w:tcPr>
            <w:tcW w:w="1041" w:type="dxa"/>
            <w:tcBorders>
              <w:top w:val="nil"/>
              <w:bottom w:val="nil"/>
            </w:tcBorders>
            <w:vAlign w:val="center"/>
          </w:tcPr>
          <w:p w14:paraId="4F47970E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35.8</w:t>
            </w:r>
          </w:p>
        </w:tc>
        <w:tc>
          <w:tcPr>
            <w:tcW w:w="1370" w:type="dxa"/>
            <w:tcBorders>
              <w:top w:val="nil"/>
              <w:bottom w:val="nil"/>
            </w:tcBorders>
            <w:vAlign w:val="center"/>
          </w:tcPr>
          <w:p w14:paraId="087AD69F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(0.13, 0.08)</w:t>
            </w:r>
          </w:p>
        </w:tc>
        <w:tc>
          <w:tcPr>
            <w:tcW w:w="2643" w:type="dxa"/>
            <w:vMerge w:val="continue"/>
            <w:vAlign w:val="center"/>
          </w:tcPr>
          <w:p w14:paraId="6B883FC4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</w:p>
        </w:tc>
      </w:tr>
      <w:tr w14:paraId="06F600B4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nil"/>
              <w:bottom w:val="nil"/>
            </w:tcBorders>
            <w:vAlign w:val="center"/>
          </w:tcPr>
          <w:p w14:paraId="465FC0D3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  <w:t>4F-mν-DABNA</w:t>
            </w:r>
          </w:p>
        </w:tc>
        <w:tc>
          <w:tcPr>
            <w:tcW w:w="772" w:type="dxa"/>
            <w:tcBorders>
              <w:top w:val="nil"/>
              <w:bottom w:val="nil"/>
            </w:tcBorders>
            <w:vAlign w:val="center"/>
          </w:tcPr>
          <w:p w14:paraId="62753EDC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461</w:t>
            </w:r>
          </w:p>
        </w:tc>
        <w:tc>
          <w:tcPr>
            <w:tcW w:w="1040" w:type="dxa"/>
            <w:tcBorders>
              <w:top w:val="nil"/>
              <w:bottom w:val="nil"/>
            </w:tcBorders>
            <w:vAlign w:val="center"/>
          </w:tcPr>
          <w:p w14:paraId="46F96074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18</w:t>
            </w:r>
          </w:p>
        </w:tc>
        <w:tc>
          <w:tcPr>
            <w:tcW w:w="1041" w:type="dxa"/>
            <w:tcBorders>
              <w:top w:val="nil"/>
              <w:bottom w:val="nil"/>
            </w:tcBorders>
            <w:vAlign w:val="center"/>
          </w:tcPr>
          <w:p w14:paraId="67F61682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33.7</w:t>
            </w:r>
          </w:p>
        </w:tc>
        <w:tc>
          <w:tcPr>
            <w:tcW w:w="1370" w:type="dxa"/>
            <w:tcBorders>
              <w:top w:val="nil"/>
              <w:bottom w:val="nil"/>
            </w:tcBorders>
            <w:vAlign w:val="center"/>
          </w:tcPr>
          <w:p w14:paraId="66CA674B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(0.13, 0.06)</w:t>
            </w:r>
          </w:p>
        </w:tc>
        <w:tc>
          <w:tcPr>
            <w:tcW w:w="2643" w:type="dxa"/>
            <w:vMerge w:val="continue"/>
            <w:tcBorders>
              <w:top w:val="single" w:color="7E7E7E" w:themeColor="text1" w:themeTint="80" w:sz="4" w:space="0"/>
              <w:bottom w:val="nil"/>
            </w:tcBorders>
            <w:vAlign w:val="center"/>
          </w:tcPr>
          <w:p w14:paraId="7DE9A1ED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</w:p>
        </w:tc>
      </w:tr>
      <w:tr w14:paraId="77E8B4B1">
        <w:tblPrEx>
          <w:tblBorders>
            <w:top w:val="single" w:color="7E7E7E" w:themeColor="text1" w:themeTint="80" w:sz="4" w:space="0"/>
            <w:left w:val="none" w:color="auto" w:sz="0" w:space="0"/>
            <w:bottom w:val="single" w:color="7E7E7E" w:themeColor="text1" w:themeTint="80" w:sz="4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70" w:type="dxa"/>
            <w:bottom w:w="0" w:type="dxa"/>
            <w:right w:w="170" w:type="dxa"/>
          </w:tblCellMar>
        </w:tblPrEx>
        <w:trPr>
          <w:trHeight w:val="642" w:hRule="atLeast"/>
          <w:jc w:val="center"/>
        </w:trPr>
        <w:tc>
          <w:tcPr>
            <w:tcW w:w="1454" w:type="dxa"/>
            <w:tcBorders>
              <w:top w:val="nil"/>
              <w:bottom w:val="single" w:color="auto" w:sz="4" w:space="0"/>
            </w:tcBorders>
            <w:vAlign w:val="center"/>
          </w:tcPr>
          <w:p w14:paraId="2685B9C2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b w:val="0"/>
                <w:bCs w:val="0"/>
                <w:kern w:val="2"/>
                <w:sz w:val="24"/>
                <w:szCs w:val="24"/>
                <w14:ligatures w14:val="standardContextual"/>
              </w:rPr>
              <w:t>m[B-N]N1</w:t>
            </w:r>
          </w:p>
        </w:tc>
        <w:tc>
          <w:tcPr>
            <w:tcW w:w="772" w:type="dxa"/>
            <w:tcBorders>
              <w:top w:val="nil"/>
              <w:bottom w:val="single" w:color="auto" w:sz="4" w:space="0"/>
            </w:tcBorders>
            <w:vAlign w:val="center"/>
          </w:tcPr>
          <w:p w14:paraId="7333FC13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478</w:t>
            </w:r>
          </w:p>
        </w:tc>
        <w:tc>
          <w:tcPr>
            <w:tcW w:w="1040" w:type="dxa"/>
            <w:tcBorders>
              <w:top w:val="nil"/>
              <w:bottom w:val="single" w:color="auto" w:sz="4" w:space="0"/>
            </w:tcBorders>
            <w:vAlign w:val="center"/>
          </w:tcPr>
          <w:p w14:paraId="2C5A5260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30</w:t>
            </w:r>
          </w:p>
        </w:tc>
        <w:tc>
          <w:tcPr>
            <w:tcW w:w="1041" w:type="dxa"/>
            <w:tcBorders>
              <w:top w:val="nil"/>
              <w:bottom w:val="single" w:color="auto" w:sz="4" w:space="0"/>
            </w:tcBorders>
            <w:vAlign w:val="center"/>
          </w:tcPr>
          <w:p w14:paraId="2016EEE4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30.4</w:t>
            </w:r>
          </w:p>
        </w:tc>
        <w:tc>
          <w:tcPr>
            <w:tcW w:w="1370" w:type="dxa"/>
            <w:tcBorders>
              <w:top w:val="nil"/>
              <w:bottom w:val="single" w:color="auto" w:sz="4" w:space="0"/>
            </w:tcBorders>
            <w:vAlign w:val="center"/>
          </w:tcPr>
          <w:p w14:paraId="2AD75548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</w:pP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14:ligatures w14:val="standardContextual"/>
              </w:rPr>
              <w:t>(0.13, 0.27)</w:t>
            </w:r>
          </w:p>
        </w:tc>
        <w:tc>
          <w:tcPr>
            <w:tcW w:w="2643" w:type="dxa"/>
            <w:tcBorders>
              <w:top w:val="nil"/>
              <w:bottom w:val="single" w:color="auto" w:sz="4" w:space="0"/>
            </w:tcBorders>
            <w:vAlign w:val="center"/>
          </w:tcPr>
          <w:p w14:paraId="21EF6454">
            <w:pPr>
              <w:spacing w:after="0" w:line="360" w:lineRule="auto"/>
              <w:jc w:val="both"/>
              <w:rPr>
                <w:rFonts w:ascii="Times New Roman" w:hAnsi="Times New Roman" w:eastAsia="宋体" w:cs="Times New Roman"/>
                <w:kern w:val="2"/>
                <w:sz w:val="24"/>
                <w:szCs w:val="24"/>
                <w:lang w:val="de-DE"/>
                <w14:ligatures w14:val="standardContextual"/>
              </w:rPr>
            </w:pPr>
            <w:r>
              <w:rPr>
                <w:rFonts w:hint="eastAsia" w:ascii="Times New Roman" w:hAnsi="Times New Roman" w:eastAsia="宋体" w:cs="Times New Roman"/>
                <w:iCs/>
                <w:kern w:val="2"/>
                <w:sz w:val="24"/>
                <w:szCs w:val="24"/>
                <w:lang w:val="de-DE"/>
                <w14:ligatures w14:val="standardContextual"/>
              </w:rPr>
              <w:t>Angewandte Chemie International Edition</w:t>
            </w:r>
            <w:r>
              <w:rPr>
                <w:rFonts w:ascii="Times New Roman" w:hAnsi="Times New Roman" w:eastAsia="宋体" w:cs="Times New Roman"/>
                <w:kern w:val="2"/>
                <w:sz w:val="24"/>
                <w:szCs w:val="24"/>
                <w:lang w:val="de-DE"/>
                <w14:ligatures w14:val="standardContextual"/>
              </w:rPr>
              <w:t>. 2022, 61(40):e202207293.</w:t>
            </w:r>
          </w:p>
        </w:tc>
      </w:tr>
      <w:bookmarkEnd w:id="5"/>
    </w:tbl>
    <w:p w14:paraId="586C4471"/>
    <w:p w14:paraId="3D75D75D">
      <w:pPr>
        <w:pStyle w:val="2"/>
        <w:numPr>
          <w:numId w:val="0"/>
        </w:numPr>
        <w:spacing w:before="0" w:after="0" w:line="360" w:lineRule="auto"/>
        <w:ind w:leftChars="0" w:right="0" w:rightChars="0"/>
      </w:pPr>
      <w:r>
        <w:rPr>
          <w:sz w:val="24"/>
        </w:rPr>
        <w:t>References</w:t>
      </w:r>
    </w:p>
    <w:p w14:paraId="1DC8289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after="0" w:line="360" w:lineRule="auto"/>
        <w:jc w:val="both"/>
        <w:textAlignment w:val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1.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Wang C, Kang X, Dai S, Cui F, Li Y, Mu H, et al. Efficient suppression of chain transfer and branching via C(s) -type shielding in a neutral nickel(II) catalyst. Angew. Chem Int Ed. 2021;60(8):4018-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40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 xml:space="preserve">22.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[DOI: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10.1002/anie.202013069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]</w:t>
      </w:r>
    </w:p>
    <w:p w14:paraId="105FCA6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after="0" w:line="360" w:lineRule="auto"/>
        <w:jc w:val="both"/>
        <w:textAlignment w:val="auto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2.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Schlütter F, Nishiuchi T, Enkelmann V, Müllen K. π-Congested poly(paraphenylene) from 2,2′,6,6′-tetraphenyl-1,1′-biphenyl units: synthesis and structural characterization. Polym Chem. 2013;4(10):2963-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296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 xml:space="preserve">7. </w:t>
      </w:r>
      <w:r>
        <w:rPr>
          <w:rFonts w:hint="eastAsia" w:ascii="Times New Roman" w:hAnsi="Times New Roman" w:cs="Times New Roman"/>
          <w:color w:val="auto"/>
          <w:sz w:val="24"/>
          <w:szCs w:val="24"/>
          <w:u w:val="none"/>
          <w:lang w:val="en-US" w:eastAsia="zh-CN"/>
        </w:rPr>
        <w:t>[DOI:</w:t>
      </w:r>
      <w:r>
        <w:rPr>
          <w:rFonts w:hint="default" w:ascii="Times New Roman" w:hAnsi="Times New Roman" w:cs="Times New Roman"/>
          <w:color w:val="auto"/>
          <w:sz w:val="24"/>
          <w:szCs w:val="24"/>
          <w:u w:val="none"/>
          <w:lang w:eastAsia="zh-CN"/>
        </w:rPr>
        <w:t>10.1039/c3py00166k</w:t>
      </w:r>
      <w:r>
        <w:rPr>
          <w:rFonts w:hint="eastAsia" w:ascii="Times New Roman" w:hAnsi="Times New Roman" w:cs="Times New Roman"/>
          <w:color w:val="auto"/>
          <w:sz w:val="24"/>
          <w:szCs w:val="24"/>
          <w:u w:val="none"/>
          <w:lang w:val="en-US" w:eastAsia="zh-CN"/>
        </w:rPr>
        <w:t>]</w:t>
      </w:r>
    </w:p>
    <w:p w14:paraId="6D6F388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after="0" w:line="360" w:lineRule="auto"/>
        <w:jc w:val="both"/>
        <w:textAlignment w:val="auto"/>
        <w:rPr>
          <w:rFonts w:hint="default" w:ascii="Times New Roman" w:hAnsi="Times New Roman" w:cs="Times New Roman"/>
          <w:sz w:val="24"/>
          <w:szCs w:val="24"/>
          <w:lang w:eastAsia="zh-CN"/>
        </w:rPr>
      </w:pPr>
      <w:r>
        <w:rPr>
          <w:rFonts w:hint="default" w:ascii="Times New Roman" w:hAnsi="Times New Roman" w:cs="Times New Roman"/>
          <w:sz w:val="24"/>
          <w:szCs w:val="24"/>
          <w:lang w:eastAsia="zh-CN"/>
        </w:rPr>
        <w:t>3.Naveen KR, Lee H, Braveenth R, Yang KJ, Hwang SJ, Kwoin JH. Deep blue diboron embedded multi-resonance thermally activated delayed fluorescence emitters for narrowband organic light emitting diodes. Chem Eng J. 2022;432:134381. [DOI:10.1016/j.cej.2021.134381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]</w:t>
      </w:r>
    </w:p>
    <w:p w14:paraId="7B6CB4C1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after="0" w:line="360" w:lineRule="auto"/>
        <w:jc w:val="both"/>
        <w:textAlignment w:val="auto"/>
        <w:rPr>
          <w:rFonts w:hint="default" w:ascii="Times New Roman" w:hAnsi="Times New Roman" w:cs="Times New Roman"/>
          <w:b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4.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Tsuchiya Y, Diesing S, Bencheikh F, Wada Y, Santos PL, Kaji H, et al. Exact solution of kinetic analysis for thermally activated delayed fluorescence materials. J. Phys Chem Lett. 2021;125(36):8074-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80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 xml:space="preserve">89.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[DOI: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10.1021/acs.jpca.1c04056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]</w:t>
      </w:r>
    </w:p>
    <w:p w14:paraId="260CA63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after="0" w:line="360" w:lineRule="auto"/>
        <w:textAlignment w:val="auto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Kozuka Mincho Pr6N M">
    <w:altName w:val="MS UI Gothic"/>
    <w:panose1 w:val="02020600000000000000"/>
    <w:charset w:val="80"/>
    <w:family w:val="auto"/>
    <w:pitch w:val="default"/>
    <w:sig w:usb0="00000000" w:usb1="00000000" w:usb2="00000012" w:usb3="00000000" w:csb0="200200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S UI 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D124A2C"/>
    <w:multiLevelType w:val="multilevel"/>
    <w:tmpl w:val="9D124A2C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hint="default" w:ascii="Times New Roman" w:hAnsi="Times New Roman" w:cs="Times New Roman"/>
        <w:b/>
        <w:bCs/>
        <w:sz w:val="24"/>
        <w:szCs w:val="24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EzNzM0NDliNzU2OWMyN2ZhM2NlNjM5MGNjMWE1MGIifQ=="/>
  </w:docVars>
  <w:rsids>
    <w:rsidRoot w:val="00000000"/>
    <w:rsid w:val="3CD969AD"/>
    <w:rsid w:val="5FBD3E4D"/>
    <w:rsid w:val="61484311"/>
    <w:rsid w:val="732C71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3"/>
    <w:qFormat/>
    <w:uiPriority w:val="0"/>
    <w:pPr>
      <w:numPr>
        <w:ilvl w:val="0"/>
        <w:numId w:val="1"/>
      </w:numPr>
      <w:spacing w:beforeAutospacing="0" w:after="0" w:afterAutospacing="0" w:line="360" w:lineRule="auto"/>
      <w:ind w:left="432" w:hanging="432"/>
      <w:jc w:val="left"/>
      <w:outlineLvl w:val="0"/>
    </w:pPr>
    <w:rPr>
      <w:rFonts w:ascii="Times New Roman" w:hAnsi="Times New Roman" w:eastAsia="Yu Gothic UI" w:cs="宋体"/>
      <w:b/>
      <w:bCs/>
      <w:kern w:val="32"/>
      <w:sz w:val="28"/>
      <w:szCs w:val="48"/>
      <w:lang w:val="en-US" w:eastAsia="zh-CN" w:bidi="ar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">
    <w:name w:val="图注"/>
    <w:qFormat/>
    <w:uiPriority w:val="0"/>
    <w:pPr>
      <w:spacing w:line="360" w:lineRule="auto"/>
      <w:jc w:val="center"/>
    </w:pPr>
    <w:rPr>
      <w:rFonts w:ascii="Times New Roman" w:hAnsi="Times New Roman" w:eastAsia="Calibri" w:cs="Calibri"/>
      <w:sz w:val="21"/>
      <w:szCs w:val="22"/>
      <w:lang w:val="en-US" w:eastAsia="en-US" w:bidi="ar-SA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Hyperlink"/>
    <w:basedOn w:val="6"/>
    <w:qFormat/>
    <w:uiPriority w:val="0"/>
    <w:rPr>
      <w:color w:val="0000FF"/>
      <w:u w:val="single"/>
    </w:rPr>
  </w:style>
  <w:style w:type="paragraph" w:customStyle="1" w:styleId="8">
    <w:name w:val="Text"/>
    <w:basedOn w:val="1"/>
    <w:qFormat/>
    <w:uiPriority w:val="0"/>
    <w:pPr>
      <w:tabs>
        <w:tab w:val="right" w:pos="7200"/>
      </w:tabs>
      <w:spacing w:after="0" w:line="260" w:lineRule="exact"/>
      <w:jc w:val="both"/>
    </w:pPr>
    <w:rPr>
      <w:rFonts w:ascii="Times New Roman" w:hAnsi="Times New Roman" w:eastAsia="Times New Roman" w:cs="Times New Roman"/>
      <w:sz w:val="20"/>
      <w:szCs w:val="24"/>
      <w:lang w:eastAsia="en-US"/>
    </w:rPr>
  </w:style>
  <w:style w:type="table" w:customStyle="1" w:styleId="9">
    <w:name w:val="无格式表格 21"/>
    <w:basedOn w:val="4"/>
    <w:qFormat/>
    <w:uiPriority w:val="42"/>
    <w:rPr>
      <w:rFonts w:ascii="Times New Roman" w:hAnsi="Times New Roman" w:eastAsia="宋体"/>
      <w:kern w:val="2"/>
      <w:sz w:val="24"/>
      <w:szCs w:val="22"/>
      <w14:ligatures w14:val="standardContextual"/>
    </w:rPr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8" Type="http://schemas.openxmlformats.org/officeDocument/2006/relationships/oleObject" Target="embeddings/oleObject2.bin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image" Target="media/image21.emf"/><Relationship Id="rId35" Type="http://schemas.openxmlformats.org/officeDocument/2006/relationships/image" Target="media/image20.png"/><Relationship Id="rId34" Type="http://schemas.openxmlformats.org/officeDocument/2006/relationships/image" Target="media/image19.emf"/><Relationship Id="rId33" Type="http://schemas.openxmlformats.org/officeDocument/2006/relationships/image" Target="media/image18.emf"/><Relationship Id="rId32" Type="http://schemas.openxmlformats.org/officeDocument/2006/relationships/image" Target="media/image17.png"/><Relationship Id="rId31" Type="http://schemas.openxmlformats.org/officeDocument/2006/relationships/image" Target="media/image16.png"/><Relationship Id="rId30" Type="http://schemas.openxmlformats.org/officeDocument/2006/relationships/image" Target="media/image15.png"/><Relationship Id="rId3" Type="http://schemas.openxmlformats.org/officeDocument/2006/relationships/footnotes" Target="footnotes.xml"/><Relationship Id="rId29" Type="http://schemas.openxmlformats.org/officeDocument/2006/relationships/image" Target="media/image14.png"/><Relationship Id="rId28" Type="http://schemas.openxmlformats.org/officeDocument/2006/relationships/image" Target="media/image13.png"/><Relationship Id="rId27" Type="http://schemas.openxmlformats.org/officeDocument/2006/relationships/image" Target="media/image12.png"/><Relationship Id="rId26" Type="http://schemas.openxmlformats.org/officeDocument/2006/relationships/image" Target="media/image11.png"/><Relationship Id="rId25" Type="http://schemas.openxmlformats.org/officeDocument/2006/relationships/image" Target="media/image10.emf"/><Relationship Id="rId24" Type="http://schemas.openxmlformats.org/officeDocument/2006/relationships/oleObject" Target="embeddings/oleObject10.bin"/><Relationship Id="rId23" Type="http://schemas.openxmlformats.org/officeDocument/2006/relationships/image" Target="media/image9.emf"/><Relationship Id="rId22" Type="http://schemas.openxmlformats.org/officeDocument/2006/relationships/oleObject" Target="embeddings/oleObject9.bin"/><Relationship Id="rId21" Type="http://schemas.openxmlformats.org/officeDocument/2006/relationships/image" Target="media/image8.e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" Type="http://schemas.openxmlformats.org/officeDocument/2006/relationships/image" Target="media/image7.emf"/><Relationship Id="rId18" Type="http://schemas.openxmlformats.org/officeDocument/2006/relationships/oleObject" Target="embeddings/oleObject7.bin"/><Relationship Id="rId17" Type="http://schemas.openxmlformats.org/officeDocument/2006/relationships/image" Target="media/image6.emf"/><Relationship Id="rId16" Type="http://schemas.openxmlformats.org/officeDocument/2006/relationships/oleObject" Target="embeddings/oleObject6.bin"/><Relationship Id="rId15" Type="http://schemas.openxmlformats.org/officeDocument/2006/relationships/image" Target="media/image5.emf"/><Relationship Id="rId14" Type="http://schemas.openxmlformats.org/officeDocument/2006/relationships/oleObject" Target="embeddings/oleObject5.bin"/><Relationship Id="rId13" Type="http://schemas.openxmlformats.org/officeDocument/2006/relationships/image" Target="media/image4.emf"/><Relationship Id="rId12" Type="http://schemas.openxmlformats.org/officeDocument/2006/relationships/oleObject" Target="embeddings/oleObject4.bin"/><Relationship Id="rId11" Type="http://schemas.openxmlformats.org/officeDocument/2006/relationships/image" Target="media/image3.e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1331</Words>
  <Characters>7504</Characters>
  <Lines>0</Lines>
  <Paragraphs>0</Paragraphs>
  <TotalTime>1</TotalTime>
  <ScaleCrop>false</ScaleCrop>
  <LinksUpToDate>false</LinksUpToDate>
  <CharactersWithSpaces>8649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2024-11-12T03:34:00Z</dcterms:created>
  <dc:creator>PC</dc:creator>
  <cp:lastModifiedBy>Autism。</cp:lastModifiedBy>
  <dcterms:modified xsi:type="dcterms:W3CDTF">2024-12-11T06:13:50Z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E83D89CE8B90400BB29F3339E473EE6A_12</vt:lpwstr>
  </property>
</Properties>
</file>